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华夏理财固定收益纯债型一年定开理财产品</w:t>
      </w:r>
      <w:r>
        <w:rPr>
          <w:rFonts w:eastAsia="黑体"/>
          <w:bCs/>
          <w:kern w:val="2"/>
          <w:sz w:val="36"/>
          <w:szCs w:val="36"/>
        </w:rPr>
        <w:t>5</w:t>
      </w:r>
      <w:r>
        <w:rPr>
          <w:rFonts w:hint="eastAsia" w:eastAsia="黑体"/>
          <w:bCs/>
          <w:kern w:val="2"/>
          <w:sz w:val="36"/>
          <w:szCs w:val="36"/>
        </w:rPr>
        <w:t>号说明书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noWrap w:val="0"/>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ascii="仿宋" w:hAnsi="仿宋" w:eastAsia="仿宋"/>
                <w:b/>
                <w:bCs/>
                <w:szCs w:val="21"/>
              </w:rPr>
              <w:t>5</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ascii="仿宋" w:hAnsi="仿宋" w:eastAsia="仿宋"/>
                <w:b/>
                <w:bCs/>
                <w:szCs w:val="21"/>
              </w:rPr>
              <w:t>5</w:t>
            </w:r>
            <w:r>
              <w:rPr>
                <w:rFonts w:hint="eastAsia" w:ascii="仿宋" w:hAnsi="仿宋" w:eastAsia="仿宋"/>
                <w:b/>
                <w:bCs/>
                <w:szCs w:val="21"/>
              </w:rPr>
              <w:t>号A”</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B份额简称：“华夏理财固收纯债一年定开</w:t>
            </w:r>
            <w:r>
              <w:rPr>
                <w:rFonts w:ascii="仿宋" w:hAnsi="仿宋" w:eastAsia="仿宋"/>
                <w:b/>
                <w:bCs/>
                <w:szCs w:val="21"/>
              </w:rPr>
              <w:t>5</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21113305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21113305</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21113305</w:t>
            </w:r>
            <w:r>
              <w:rPr>
                <w:rFonts w:hint="eastAsia" w:ascii="仿宋" w:hAnsi="仿宋" w:eastAsia="仿宋"/>
                <w:bCs/>
                <w:szCs w:val="21"/>
              </w:rPr>
              <w:t>B（招商银行销售代码：HX02020</w:t>
            </w:r>
            <w:r>
              <w:rPr>
                <w:rFonts w:ascii="仿宋" w:hAnsi="仿宋" w:eastAsia="仿宋"/>
                <w:bCs/>
                <w:szCs w:val="21"/>
              </w:rPr>
              <w:t>5</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Z7003921000485</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3.70%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3.80%</w:t>
            </w:r>
            <w:r>
              <w:rPr>
                <w:rFonts w:hint="eastAsia" w:ascii="仿宋" w:hAnsi="仿宋" w:eastAsia="仿宋" w:cs="Cambria"/>
                <w:bCs/>
                <w:szCs w:val="21"/>
              </w:rPr>
              <w:t>（年化）。以产品投资利率债仓位0-10%，信用债仓位100%-130%，组合杠杆率100%-140%为例，参考剩余期限匹配的目标债券到期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w:t>
            </w:r>
            <w:bookmarkStart w:id="4" w:name="_GoBack"/>
            <w:bookmarkEnd w:id="4"/>
            <w:r>
              <w:rPr>
                <w:rFonts w:hint="eastAsia" w:ascii="仿宋" w:hAnsi="仿宋" w:eastAsia="仿宋"/>
              </w:rPr>
              <w:t>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r>
              <w:rPr>
                <w:rFonts w:hint="eastAsia" w:ascii="仿宋" w:hAnsi="仿宋" w:eastAsia="仿宋"/>
                <w:bCs/>
                <w:szCs w:val="21"/>
                <w:lang w:val="en-GB"/>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ascii="仿宋" w:hAnsi="仿宋" w:eastAsia="仿宋"/>
                <w:bCs/>
                <w:szCs w:val="21"/>
              </w:rPr>
              <w:t>3</w:t>
            </w:r>
            <w:r>
              <w:rPr>
                <w:rFonts w:hint="eastAsia" w:ascii="仿宋" w:hAnsi="仿宋" w:eastAsia="仿宋"/>
                <w:bCs/>
                <w:szCs w:val="21"/>
              </w:rPr>
              <w:t>月20日（含）起连续3个工作日开放，开放期/开放日如遇非工作日则顺延至下一个工作日。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noWrap w:val="0"/>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noWrap w:val="0"/>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noWrap w:val="0"/>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noWrap w:val="0"/>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noWrap w:val="0"/>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noWrap w:val="0"/>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hint="eastAsia" w:ascii="仿宋" w:hAnsi="仿宋" w:eastAsia="仿宋" w:cs="Cambria"/>
                <w:b/>
                <w:bCs/>
                <w:szCs w:val="21"/>
              </w:rPr>
              <w:t>销售手续费率</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hint="eastAsia" w:ascii="仿宋" w:hAnsi="仿宋" w:eastAsia="仿宋" w:cs="Cambria"/>
                <w:b/>
                <w:bCs/>
                <w:szCs w:val="21"/>
              </w:rPr>
              <w:t>销售手续费率</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固定管理费率0.20%/年，以前一日资产净值为基数，每日计提。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ascii="仿宋" w:hAnsi="仿宋" w:eastAsia="仿宋"/>
                <w:b/>
                <w:bCs/>
                <w:szCs w:val="21"/>
                <w:highlight w:val="none"/>
              </w:rPr>
              <w:t>3.70%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3.80%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本产品100%投资于固定收益类金融工具，包括货币市场类、债券市场类等，及其他符合监管要求的固定收益类金融工具。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类包括但不限于银行存款、大额存单、同业存单（CD）、短期融资券、超短期融资券、剩余期限在397天以内（含397天）的债券、期限在一年以内（含一年）的债券回购、期限在一年以内（含一年）的中央银行票据、货币市场基金以及中国人民银行、中国银保监会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债券市场类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货币市场类</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债券市场类</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b w:val="0"/>
          <w:bCs w:val="0"/>
          <w:kern w:val="0"/>
          <w:sz w:val="24"/>
        </w:rPr>
        <w:t>管理人应当自理财产品成立日起</w:t>
      </w:r>
      <w:r>
        <w:rPr>
          <w:rFonts w:ascii="仿宋" w:hAnsi="仿宋" w:eastAsia="仿宋" w:cs="宋体"/>
          <w:b w:val="0"/>
          <w:bCs w:val="0"/>
          <w:kern w:val="0"/>
          <w:sz w:val="24"/>
        </w:rPr>
        <w:t>1</w:t>
      </w:r>
      <w:r>
        <w:rPr>
          <w:rFonts w:hint="eastAsia" w:ascii="仿宋" w:hAnsi="仿宋" w:eastAsia="仿宋" w:cs="宋体"/>
          <w:b w:val="0"/>
          <w:bCs w:val="0"/>
          <w:kern w:val="0"/>
          <w:sz w:val="24"/>
        </w:rPr>
        <w:t>个月内使理财产品的投资比例符合上述约定。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w:t>
      </w:r>
      <w:r>
        <w:rPr>
          <w:rFonts w:hint="eastAsia" w:ascii="仿宋" w:hAnsi="仿宋" w:eastAsia="仿宋" w:cs="宋体"/>
          <w:kern w:val="0"/>
          <w:sz w:val="24"/>
        </w:rPr>
        <w:t>及电子渠道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本理财产品所投资的银行存款、货币市场工具、债券等标准化债权类资产以及资产管理产品等资产。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（1）场外申赎的开放式基金（包括上市开放式基金LOF）以估值日前一交易日基金净值估值，估值日前一交易日开放式基金份额净值未公布的，以此前最近一个交易日基金份额净值计算；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（3）货币基金按前一估值日后至估值日期间（含节假日）发布的万份收益计提估值日收益。</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rPr>
        <w:t xml:space="preserve">日期：  </w:t>
      </w:r>
      <w:r>
        <w:rPr>
          <w:rFonts w:ascii="仿宋" w:hAnsi="仿宋" w:eastAsia="仿宋" w:cs="宋体"/>
          <w:color w:val="000000"/>
        </w:rPr>
        <w:t xml:space="preserve">   年     月    日            </w:t>
      </w:r>
      <w:r>
        <w:rPr>
          <w:rFonts w:hint="eastAsia" w:ascii="仿宋" w:hAnsi="仿宋" w:eastAsia="仿宋" w:cs="宋体"/>
          <w:color w:val="000000"/>
          <w:kern w:val="0"/>
          <w:sz w:val="24"/>
        </w:rPr>
        <w:t xml:space="preserve">              </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1" w:usb1="080E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1" w:usb1="080E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D4D61"/>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96EF2"/>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35729"/>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3F4875"/>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iPriority="0" w:semiHidden="0" w:name="Table Grid"/>
    <w:lsdException w:uiPriority="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99"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spacing w:line="560" w:lineRule="exact"/>
      <w:jc w:val="both"/>
    </w:pPr>
    <w:rPr>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semiHidden/>
    <w:unhideWhenUsed/>
    <w:uiPriority w:val="1"/>
  </w:style>
  <w:style w:type="table" w:default="1" w:styleId="11">
    <w:name w:val="Normal Table"/>
    <w:semiHidden/>
    <w:unhideWhenUsed/>
    <w:uiPriority w:val="99"/>
    <w:tblPr>
      <w:tblStyle w:val="11"/>
      <w:tblLayout w:type="fixed"/>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Body Text Indent"/>
    <w:basedOn w:val="1"/>
    <w:unhideWhenUsed/>
    <w:uiPriority w:val="0"/>
    <w:pPr>
      <w:ind w:firstLine="630"/>
    </w:pPr>
    <w:rPr>
      <w:kern w:val="0"/>
      <w:sz w:val="24"/>
    </w:rPr>
  </w:style>
  <w:style w:type="paragraph" w:styleId="7">
    <w:name w:val="Body Text Indent 2"/>
    <w:basedOn w:val="1"/>
    <w:unhideWhenUsed/>
    <w:uiPriority w:val="0"/>
    <w:pPr>
      <w:ind w:firstLine="600"/>
    </w:pPr>
    <w:rPr>
      <w:kern w:val="0"/>
      <w:sz w:val="24"/>
    </w:rPr>
  </w:style>
  <w:style w:type="paragraph" w:styleId="8">
    <w:name w:val="Balloon Text"/>
    <w:basedOn w:val="1"/>
    <w:semiHidden/>
    <w:uiPriority w:val="0"/>
    <w:rPr>
      <w:sz w:val="18"/>
      <w:szCs w:val="18"/>
    </w:rPr>
  </w:style>
  <w:style w:type="paragraph" w:styleId="9">
    <w:name w:val="footer"/>
    <w:basedOn w:val="1"/>
    <w:unhideWhenUsed/>
    <w:uiPriority w:val="0"/>
    <w:pPr>
      <w:tabs>
        <w:tab w:val="center" w:pos="4153"/>
        <w:tab w:val="right" w:pos="8306"/>
      </w:tabs>
      <w:snapToGrid w:val="0"/>
      <w:jc w:val="left"/>
    </w:pPr>
    <w:rPr>
      <w:sz w:val="18"/>
      <w:szCs w:val="20"/>
    </w:rPr>
  </w:style>
  <w:style w:type="paragraph" w:styleId="10">
    <w:name w:val="header"/>
    <w:basedOn w:val="1"/>
    <w:unhideWhenUsed/>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uiPriority w:val="0"/>
    <w:pPr>
      <w:widowControl w:val="0"/>
      <w:jc w:val="both"/>
    </w:pPr>
    <w:rPr>
      <w:rFonts w:eastAsia="Times New Roman"/>
    </w:r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annotation reference"/>
    <w:uiPriority w:val="0"/>
    <w:rPr>
      <w:sz w:val="21"/>
      <w:szCs w:val="21"/>
    </w:rPr>
  </w:style>
  <w:style w:type="paragraph" w:styleId="15">
    <w:name w:val=""/>
    <w:unhideWhenUsed/>
    <w:uiPriority w:val="99"/>
    <w:rPr>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cs="Arial Unicode MS"/>
      <w:color w:val="000000"/>
      <w:kern w:val="2"/>
      <w:sz w:val="32"/>
      <w:szCs w:val="32"/>
      <w:u w:val="none" w:color="000000"/>
      <w:lang w:val="en-US" w:eastAsia="zh-CN" w:bidi="ar-SA"/>
    </w:rPr>
  </w:style>
  <w:style w:type="paragraph" w:customStyle="1" w:styleId="17">
    <w:name w:val="p0"/>
    <w:basedOn w:val="1"/>
    <w:uiPriority w:val="0"/>
    <w:pPr>
      <w:widowControl/>
    </w:pPr>
    <w:rPr>
      <w:kern w:val="0"/>
      <w:szCs w:val="21"/>
    </w:rPr>
  </w:style>
  <w:style w:type="paragraph" w:customStyle="1" w:styleId="18">
    <w:name w:val="Defaul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sz w:val="30"/>
      <w:szCs w:val="30"/>
      <w:lang w:val="en-US" w:eastAsia="zh-CN" w:bidi="ar-SA"/>
    </w:rPr>
  </w:style>
  <w:style w:type="character" w:customStyle="1" w:styleId="20">
    <w:name w:val="font11"/>
    <w:uiPriority w:val="0"/>
    <w:rPr>
      <w:rFonts w:hint="default" w:ascii="微软简仿宋" w:hAnsi="微软简仿宋" w:eastAsia="微软简仿宋" w:cs="微软简仿宋"/>
      <w:color w:val="000000"/>
      <w:sz w:val="24"/>
      <w:szCs w:val="24"/>
      <w:u w:val="none"/>
    </w:rPr>
  </w:style>
  <w:style w:type="character" w:customStyle="1" w:styleId="21">
    <w:name w:val="font01"/>
    <w:uiPriority w:val="0"/>
    <w:rPr>
      <w:rFonts w:hint="default" w:ascii="Times New Roman" w:hAnsi="Times New Roman" w:cs="Times New Roman"/>
      <w:color w:val="000000"/>
      <w:sz w:val="24"/>
      <w:szCs w:val="24"/>
      <w:u w:val="none"/>
    </w:rPr>
  </w:style>
  <w:style w:type="character" w:customStyle="1" w:styleId="22">
    <w:name w:val="font51"/>
    <w:uiPriority w:val="0"/>
    <w:rPr>
      <w:rFonts w:hint="default" w:ascii="Times New Roman" w:hAnsi="Times New Roman" w:cs="Times New Roman"/>
      <w:color w:val="000000"/>
      <w:sz w:val="24"/>
      <w:szCs w:val="24"/>
      <w:u w:val="none"/>
    </w:rPr>
  </w:style>
  <w:style w:type="character" w:customStyle="1" w:styleId="23">
    <w:name w:val="font81"/>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2945</Words>
  <Characters>16793</Characters>
  <Lines>139</Lines>
  <Paragraphs>39</Paragraphs>
  <TotalTime>2</TotalTime>
  <ScaleCrop>false</ScaleCrop>
  <LinksUpToDate>false</LinksUpToDate>
  <CharactersWithSpaces>19699</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2023-02-16T11:02:00Z</dcterms:created>
  <dc:creator>ylh</dc:creator>
  <cp:keywords>新版</cp:keywords>
  <cp:lastModifiedBy>RORO</cp:lastModifiedBy>
  <dcterms:modified xsi:type="dcterms:W3CDTF">2023-03-15T07:04:34Z</dcterms:modified>
  <dc:title>华夏理财固定收益纯债型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F665AB604087427AB68C2D237E20ECB1</vt:lpwstr>
  </property>
</Properties>
</file>