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D07" w:rsidRDefault="00022B5D">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金农商银行个人结构性存款20251</w:t>
      </w:r>
      <w:r w:rsidR="009C7D65">
        <w:rPr>
          <w:rFonts w:ascii="黑体" w:eastAsia="黑体" w:hAnsi="黑体" w:cs="黑体" w:hint="eastAsia"/>
          <w:b/>
          <w:bCs/>
          <w:color w:val="auto"/>
          <w:kern w:val="2"/>
          <w:sz w:val="32"/>
          <w:szCs w:val="32"/>
        </w:rPr>
        <w:t>21</w:t>
      </w:r>
      <w:r>
        <w:rPr>
          <w:rFonts w:ascii="黑体" w:eastAsia="黑体" w:hAnsi="黑体" w:cs="黑体" w:hint="eastAsia"/>
          <w:b/>
          <w:bCs/>
          <w:color w:val="auto"/>
          <w:kern w:val="2"/>
          <w:sz w:val="32"/>
          <w:szCs w:val="32"/>
        </w:rPr>
        <w:t>期产品说明书</w:t>
      </w:r>
    </w:p>
    <w:p w:rsidR="00247D07" w:rsidRDefault="00022B5D" w:rsidP="009C7D65">
      <w:pPr>
        <w:spacing w:beforeLines="50" w:line="320" w:lineRule="exact"/>
        <w:rPr>
          <w:rFonts w:ascii="黑体" w:eastAsia="黑体" w:hAnsi="宋体"/>
          <w:b/>
          <w:bCs/>
          <w:sz w:val="24"/>
        </w:rPr>
      </w:pPr>
      <w:r>
        <w:rPr>
          <w:rFonts w:ascii="黑体" w:eastAsia="黑体" w:hAnsi="宋体" w:hint="eastAsia"/>
          <w:b/>
          <w:bCs/>
          <w:sz w:val="24"/>
        </w:rPr>
        <w:t>重要须知：</w:t>
      </w:r>
    </w:p>
    <w:p w:rsidR="00247D07" w:rsidRDefault="00022B5D">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247D07" w:rsidRDefault="00022B5D">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247D07" w:rsidRDefault="00022B5D">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247D07" w:rsidRDefault="00022B5D">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247D07" w:rsidRDefault="00022B5D">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247D07" w:rsidRDefault="00022B5D">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247D07" w:rsidRDefault="00022B5D">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247D07" w:rsidRDefault="00022B5D">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247D07" w:rsidRDefault="00022B5D" w:rsidP="009C7D65">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9C7D65" w:rsidTr="001C0C89">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紫金农商银行个人结构性存款2025121期</w:t>
            </w:r>
          </w:p>
        </w:tc>
      </w:tr>
      <w:tr w:rsidR="009C7D65"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kern w:val="0"/>
                <w:sz w:val="22"/>
              </w:rPr>
            </w:pPr>
            <w:r>
              <w:rPr>
                <w:rFonts w:ascii="仿宋_GB2312" w:eastAsia="仿宋_GB2312" w:hAnsi="宋体" w:cs="宋体" w:hint="eastAsia"/>
                <w:kern w:val="0"/>
                <w:sz w:val="22"/>
              </w:rPr>
              <w:t>0112500111</w:t>
            </w:r>
          </w:p>
        </w:tc>
      </w:tr>
      <w:tr w:rsidR="009C7D65"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9C7D65"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121天</w:t>
            </w:r>
          </w:p>
        </w:tc>
      </w:tr>
      <w:tr w:rsidR="009C7D65"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9C7D65"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9C7D65"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9C7D65"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b/>
                <w:kern w:val="0"/>
                <w:sz w:val="24"/>
              </w:rPr>
            </w:pPr>
            <w:r>
              <w:rPr>
                <w:rFonts w:ascii="仿宋_GB2312" w:eastAsia="仿宋_GB2312" w:hAnsi="宋体" w:cs="宋体" w:hint="eastAsia"/>
                <w:b/>
                <w:kern w:val="0"/>
                <w:sz w:val="24"/>
              </w:rPr>
              <w:t>2025年9月26日14:00—2025年10月13日14:00</w:t>
            </w:r>
          </w:p>
        </w:tc>
      </w:tr>
      <w:tr w:rsidR="009C7D65"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b/>
                <w:kern w:val="0"/>
                <w:sz w:val="24"/>
              </w:rPr>
            </w:pPr>
            <w:r>
              <w:rPr>
                <w:rFonts w:ascii="仿宋_GB2312" w:eastAsia="仿宋_GB2312" w:hAnsi="宋体" w:cs="宋体" w:hint="eastAsia"/>
                <w:b/>
                <w:kern w:val="0"/>
                <w:sz w:val="24"/>
              </w:rPr>
              <w:t>2025年10月15日</w:t>
            </w:r>
          </w:p>
        </w:tc>
      </w:tr>
      <w:tr w:rsidR="009C7D65"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kern w:val="0"/>
                <w:sz w:val="22"/>
              </w:rPr>
            </w:pPr>
            <w:r>
              <w:rPr>
                <w:rFonts w:ascii="仿宋_GB2312" w:eastAsia="仿宋_GB2312" w:hAnsi="宋体" w:cs="宋体" w:hint="eastAsia"/>
                <w:kern w:val="0"/>
                <w:sz w:val="22"/>
              </w:rPr>
              <w:t>2026年2月13日</w:t>
            </w:r>
          </w:p>
        </w:tc>
      </w:tr>
      <w:tr w:rsidR="009C7D65"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9C7D65" w:rsidTr="001C0C89">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：1.1</w:t>
            </w:r>
            <w:r>
              <w:rPr>
                <w:rFonts w:ascii="仿宋_GB2312" w:eastAsia="仿宋_GB2312"/>
                <w:sz w:val="22"/>
                <w:szCs w:val="28"/>
              </w:rPr>
              <w:t>%或</w:t>
            </w:r>
            <w:r>
              <w:rPr>
                <w:rFonts w:ascii="仿宋_GB2312" w:eastAsia="仿宋_GB2312" w:hint="eastAsia"/>
                <w:sz w:val="22"/>
                <w:szCs w:val="28"/>
              </w:rPr>
              <w:t>1.65%或1.85</w:t>
            </w:r>
            <w:r>
              <w:rPr>
                <w:rFonts w:ascii="仿宋_GB2312" w:eastAsia="仿宋_GB2312"/>
                <w:sz w:val="22"/>
                <w:szCs w:val="28"/>
              </w:rPr>
              <w:t>%</w:t>
            </w:r>
            <w:r>
              <w:rPr>
                <w:rFonts w:ascii="仿宋_GB2312" w:eastAsia="仿宋_GB2312" w:hint="eastAsia"/>
                <w:sz w:val="22"/>
                <w:szCs w:val="28"/>
              </w:rPr>
              <w:t>。</w:t>
            </w:r>
          </w:p>
          <w:p w:rsidR="009C7D65" w:rsidRDefault="009C7D65" w:rsidP="001C0C89">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若期末观察日挂钩标的价格大于【起息日挂钩标的价格+44BP】，则到期收益率为1.1%；</w:t>
            </w:r>
          </w:p>
          <w:p w:rsidR="009C7D65" w:rsidRDefault="009C7D65" w:rsidP="001C0C89">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若期末观察日挂钩标的价格大于【起息日挂钩标的价格-30BP】且小于或等于【起息日挂钩标的价格+44BP】,则到期收益率为1.65%;</w:t>
            </w:r>
          </w:p>
          <w:p w:rsidR="009C7D65" w:rsidRDefault="009C7D65" w:rsidP="001C0C89">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若期末观察日挂钩标的价格小于或等于【起息日挂钩标的价格-30BP】,则到期收益率为1.85%。</w:t>
            </w:r>
          </w:p>
          <w:p w:rsidR="009C7D65" w:rsidRDefault="009C7D65" w:rsidP="001C0C89">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9C7D65" w:rsidRDefault="009C7D65" w:rsidP="001C0C89">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 xml:space="preserve">易日但无法从上述页面获得该利率，则使用可获得该利率的最近一个观察日的挂钩标的利率，作为该观察日挂钩标的的利率。   </w:t>
            </w:r>
          </w:p>
        </w:tc>
      </w:tr>
      <w:tr w:rsidR="009C7D65"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9C7D65"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10000万元人民币</w:t>
            </w:r>
          </w:p>
        </w:tc>
      </w:tr>
      <w:tr w:rsidR="009C7D65"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9C7D65"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9C7D65"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9C7D65"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9C7D65" w:rsidTr="001C0C89">
        <w:trPr>
          <w:trHeight w:val="782"/>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9C7D65" w:rsidRDefault="009C7D65"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9C7D65" w:rsidRDefault="009C7D65" w:rsidP="001C0C89">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247D07" w:rsidRDefault="00022B5D" w:rsidP="009C7D65">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247D07" w:rsidRDefault="00022B5D">
      <w:pPr>
        <w:spacing w:line="560" w:lineRule="exact"/>
        <w:ind w:firstLineChars="196" w:firstLine="630"/>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.1产品认购</w:t>
      </w:r>
    </w:p>
    <w:p w:rsidR="00247D07" w:rsidRDefault="00022B5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247D07" w:rsidRDefault="00022B5D">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247D07" w:rsidRDefault="00022B5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247D07" w:rsidRDefault="00022B5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2.1.4客户认购生效后至起息日（不含）期间按照活期</w:t>
      </w:r>
      <w:r>
        <w:rPr>
          <w:rFonts w:ascii="仿宋_GB2312" w:eastAsia="仿宋_GB2312" w:hAnsi="宋体" w:hint="eastAsia"/>
          <w:sz w:val="32"/>
          <w:szCs w:val="32"/>
        </w:rPr>
        <w:lastRenderedPageBreak/>
        <w:t>存款利率计息，认购期内的利息不计入投资本金。</w:t>
      </w:r>
    </w:p>
    <w:p w:rsidR="00247D07" w:rsidRDefault="00022B5D">
      <w:pPr>
        <w:spacing w:line="560" w:lineRule="exact"/>
        <w:ind w:firstLineChars="200" w:firstLine="643"/>
        <w:rPr>
          <w:rFonts w:ascii="仿宋_GB2312" w:eastAsia="仿宋_GB2312" w:hAnsi="宋体"/>
          <w:b/>
          <w:bCs/>
          <w:kern w:val="0"/>
          <w:sz w:val="32"/>
          <w:szCs w:val="32"/>
        </w:rPr>
      </w:pPr>
      <w:r>
        <w:rPr>
          <w:rFonts w:ascii="仿宋_GB2312" w:eastAsia="仿宋_GB2312" w:hAnsi="宋体" w:hint="eastAsia"/>
          <w:b/>
          <w:bCs/>
          <w:kern w:val="0"/>
          <w:sz w:val="32"/>
          <w:szCs w:val="32"/>
        </w:rPr>
        <w:t>2.2产品成立</w:t>
      </w:r>
    </w:p>
    <w:p w:rsidR="00247D07" w:rsidRDefault="00022B5D">
      <w:pPr>
        <w:spacing w:line="560" w:lineRule="exact"/>
        <w:ind w:firstLineChars="200" w:firstLine="643"/>
        <w:rPr>
          <w:rFonts w:ascii="仿宋_GB2312" w:eastAsia="仿宋_GB2312" w:hAnsi="宋体"/>
          <w:sz w:val="32"/>
          <w:szCs w:val="32"/>
        </w:rPr>
      </w:pPr>
      <w:r>
        <w:rPr>
          <w:rFonts w:ascii="仿宋_GB2312" w:eastAsia="仿宋_GB2312" w:hAnsi="宋体" w:hint="eastAsia"/>
          <w:b/>
          <w:bCs/>
          <w:kern w:val="0"/>
          <w:sz w:val="32"/>
          <w:szCs w:val="32"/>
        </w:rPr>
        <w:t>2.2.1紫金农商银行</w:t>
      </w:r>
      <w:r>
        <w:rPr>
          <w:rFonts w:ascii="仿宋_GB2312" w:eastAsia="仿宋_GB2312" w:hAnsi="宋体" w:hint="eastAsia"/>
          <w:sz w:val="32"/>
          <w:szCs w:val="32"/>
        </w:rPr>
        <w:t>有权根据实际需要对本产品募集资金规模进行调整，本产品最终规模以紫金农商银行实际募集的资金数额为准。</w:t>
      </w:r>
    </w:p>
    <w:p w:rsidR="00247D07" w:rsidRDefault="00022B5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2.2.2紫金农商银行有权根据认购情况调整认购期。如紫金农商银行调整认购期，则起息日由紫金农商银行另行确定。</w:t>
      </w:r>
    </w:p>
    <w:p w:rsidR="00247D07" w:rsidRDefault="00022B5D">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第2个工作日</w:t>
      </w:r>
      <w:r>
        <w:rPr>
          <w:rFonts w:ascii="仿宋_GB2312" w:eastAsia="仿宋_GB2312" w:hAnsi="宋体" w:hint="eastAsia"/>
          <w:sz w:val="32"/>
          <w:szCs w:val="32"/>
        </w:rPr>
        <w:t>发布该产品不成立的公告，并解冻客户结算账户内的认购资金。</w:t>
      </w:r>
    </w:p>
    <w:p w:rsidR="00247D07" w:rsidRDefault="00022B5D">
      <w:pPr>
        <w:spacing w:line="560" w:lineRule="exact"/>
        <w:ind w:firstLineChars="200" w:firstLine="643"/>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.3提前终止与产品终止</w:t>
      </w:r>
    </w:p>
    <w:p w:rsidR="00247D07" w:rsidRDefault="00022B5D">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247D07" w:rsidRDefault="00022B5D">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247D07" w:rsidRDefault="00022B5D">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lastRenderedPageBreak/>
        <w:t>紫金农商银行行使提前终止权的，应在提前终止日（即产品提前到期日）前</w:t>
      </w:r>
      <w:r>
        <w:rPr>
          <w:rFonts w:ascii="仿宋_GB2312" w:eastAsia="仿宋_GB2312" w:hAnsi="宋体" w:hint="eastAsia"/>
          <w:sz w:val="32"/>
          <w:szCs w:val="32"/>
          <w:u w:val="single"/>
          <w:lang w:val="zh-CN"/>
        </w:rPr>
        <w:t>2个工作日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247D07" w:rsidRDefault="00022B5D">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2 个工作日内</w:t>
      </w:r>
      <w:r>
        <w:rPr>
          <w:rFonts w:ascii="仿宋_GB2312" w:eastAsia="仿宋_GB2312" w:hAnsi="宋体" w:hint="eastAsia"/>
          <w:bCs/>
          <w:kern w:val="0"/>
          <w:sz w:val="32"/>
          <w:szCs w:val="32"/>
          <w:lang w:val="zh-CN"/>
        </w:rPr>
        <w:t>将存款资金划入客户认购结构性存款时资金转出的结算账户，本投资周期终止日至资金到帐日间不另付利息。</w:t>
      </w:r>
    </w:p>
    <w:p w:rsidR="00247D07" w:rsidRDefault="00022B5D">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4存款本金及收益</w:t>
      </w:r>
    </w:p>
    <w:p w:rsidR="00247D07" w:rsidRDefault="00022B5D">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247D07" w:rsidRDefault="00022B5D">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247D07" w:rsidRDefault="00022B5D">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rsidR="00247D07" w:rsidRDefault="00022B5D">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最有利情况：若期末观察日挂钩标的价格为2.65%，小</w:t>
      </w:r>
      <w:r>
        <w:rPr>
          <w:rFonts w:ascii="仿宋_GB2312" w:eastAsia="仿宋_GB2312" w:hAnsi="宋体" w:hint="eastAsia"/>
          <w:color w:val="FF0000"/>
          <w:sz w:val="32"/>
          <w:szCs w:val="32"/>
        </w:rPr>
        <w:lastRenderedPageBreak/>
        <w:t>于或等于【2.71%】，则产品到期时客户共获得年化利率为2.95%的收益；</w:t>
      </w:r>
    </w:p>
    <w:p w:rsidR="00247D07" w:rsidRDefault="00022B5D">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最不利情况：若期末观察日挂钩标的价格为3.6%，大于【3.5%】，则产品到期时客户共获得年化利率为1.8%的收益。</w:t>
      </w:r>
    </w:p>
    <w:p w:rsidR="00247D07" w:rsidRDefault="00022B5D">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其他情况：若期末观察日挂钩标的价格为2.8%，大于【2.71%】且小于或等于【3.5%】，则产品到期时客户共获得年化利率为2.85%的收益。</w:t>
      </w:r>
    </w:p>
    <w:p w:rsidR="00247D07" w:rsidRDefault="00022B5D">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2.5如果客户的资金账户发生变更的，以紫金农商银行在支付投资本金与收益前收到的最后一份书面变更通知中的资金账户为准。</w:t>
      </w:r>
    </w:p>
    <w:p w:rsidR="00247D07" w:rsidRDefault="00022B5D">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2.6</w:t>
      </w:r>
      <w:r>
        <w:rPr>
          <w:rFonts w:ascii="仿宋_GB2312" w:eastAsia="仿宋_GB2312" w:hAnsi="宋体" w:hint="eastAsia"/>
          <w:bCs/>
          <w:kern w:val="0"/>
          <w:sz w:val="32"/>
          <w:szCs w:val="32"/>
          <w:lang w:val="zh-CN"/>
        </w:rPr>
        <w:t>结构性存款收益的应纳税款由客户自行申报及缴纳。</w:t>
      </w:r>
    </w:p>
    <w:p w:rsidR="00247D07" w:rsidRDefault="00022B5D" w:rsidP="009C7D65">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247D07" w:rsidRDefault="00022B5D">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247D07" w:rsidRDefault="00022B5D">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3.2若发生产品提前终止的情形，紫金农商银行将按照本说明书的约定，发布产品提前终止的相关信息。</w:t>
      </w:r>
    </w:p>
    <w:p w:rsidR="00247D07" w:rsidRDefault="00022B5D">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3.3若发生结构性存款产品不成立的情形，紫金农商银行发布产品不成立的相关信息。</w:t>
      </w:r>
    </w:p>
    <w:p w:rsidR="00247D07" w:rsidRDefault="00022B5D">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3.4其他紫金农商银行认为对客户有重大影响而需要发布的重要信息。</w:t>
      </w:r>
    </w:p>
    <w:p w:rsidR="00247D07" w:rsidRDefault="00022B5D">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3.5客户确认并同意紫金农商银行通过以下任一方式披露信息：紫金农商银行官方网站（www.zjrcbank.com）、紫金农商银行营业网点、电子邮件、电话、以信函形式邮寄、</w:t>
      </w:r>
      <w:r>
        <w:rPr>
          <w:rFonts w:ascii="仿宋_GB2312" w:eastAsia="仿宋_GB2312" w:hAnsi="宋体" w:hint="eastAsia"/>
          <w:bCs/>
          <w:kern w:val="0"/>
          <w:sz w:val="32"/>
          <w:szCs w:val="32"/>
          <w:lang w:val="zh-CN"/>
        </w:rPr>
        <w:lastRenderedPageBreak/>
        <w:t>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247D07" w:rsidRDefault="00022B5D" w:rsidP="009C7D65">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247D07" w:rsidRDefault="00022B5D">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247D07" w:rsidRDefault="00022B5D">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4.2客户签署《结构性存款协议》后，紫金农商银行有权在产品起息日从约定的账户扣收客户的存款本金。</w:t>
      </w:r>
    </w:p>
    <w:p w:rsidR="00247D07" w:rsidRDefault="00022B5D" w:rsidP="009C7D65">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247D07" w:rsidRDefault="00022B5D">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247D07" w:rsidRDefault="00022B5D">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247D07" w:rsidRDefault="00247D07">
      <w:pPr>
        <w:spacing w:line="560" w:lineRule="exact"/>
        <w:rPr>
          <w:rFonts w:ascii="仿宋_GB2312" w:eastAsia="仿宋_GB2312"/>
          <w:sz w:val="32"/>
          <w:szCs w:val="32"/>
        </w:rPr>
      </w:pPr>
    </w:p>
    <w:sectPr w:rsidR="00247D07" w:rsidSect="00247D07">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EBE" w:rsidRDefault="00843EBE" w:rsidP="00247D07">
      <w:r>
        <w:separator/>
      </w:r>
    </w:p>
  </w:endnote>
  <w:endnote w:type="continuationSeparator" w:id="1">
    <w:p w:rsidR="00843EBE" w:rsidRDefault="00843EBE" w:rsidP="00247D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247D07" w:rsidRDefault="00F9348B">
        <w:pPr>
          <w:pStyle w:val="a4"/>
          <w:jc w:val="center"/>
        </w:pPr>
        <w:r w:rsidRPr="00F9348B">
          <w:fldChar w:fldCharType="begin"/>
        </w:r>
        <w:r w:rsidR="00022B5D">
          <w:instrText xml:space="preserve"> PAGE   \* MERGEFORMAT </w:instrText>
        </w:r>
        <w:r w:rsidRPr="00F9348B">
          <w:fldChar w:fldCharType="separate"/>
        </w:r>
        <w:r w:rsidR="009C7D65" w:rsidRPr="009C7D65">
          <w:rPr>
            <w:noProof/>
            <w:lang w:val="zh-CN"/>
          </w:rPr>
          <w:t>1</w:t>
        </w:r>
        <w:r>
          <w:rPr>
            <w:lang w:val="zh-CN"/>
          </w:rPr>
          <w:fldChar w:fldCharType="end"/>
        </w:r>
      </w:p>
    </w:sdtContent>
  </w:sdt>
  <w:p w:rsidR="00247D07" w:rsidRDefault="00247D0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EBE" w:rsidRDefault="00843EBE" w:rsidP="00247D07">
      <w:r>
        <w:separator/>
      </w:r>
    </w:p>
  </w:footnote>
  <w:footnote w:type="continuationSeparator" w:id="1">
    <w:p w:rsidR="00843EBE" w:rsidRDefault="00843EBE" w:rsidP="00247D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481C"/>
    <w:rsid w:val="000148FF"/>
    <w:rsid w:val="00020D53"/>
    <w:rsid w:val="00022B5D"/>
    <w:rsid w:val="00022EBA"/>
    <w:rsid w:val="00022FC8"/>
    <w:rsid w:val="00023184"/>
    <w:rsid w:val="000250DB"/>
    <w:rsid w:val="0003659E"/>
    <w:rsid w:val="00050031"/>
    <w:rsid w:val="00050E9E"/>
    <w:rsid w:val="000527F0"/>
    <w:rsid w:val="0005374B"/>
    <w:rsid w:val="00053BBE"/>
    <w:rsid w:val="000547F8"/>
    <w:rsid w:val="00057244"/>
    <w:rsid w:val="00061B40"/>
    <w:rsid w:val="00061D48"/>
    <w:rsid w:val="00061F5D"/>
    <w:rsid w:val="000625BA"/>
    <w:rsid w:val="0007198C"/>
    <w:rsid w:val="00072058"/>
    <w:rsid w:val="00084281"/>
    <w:rsid w:val="00085E36"/>
    <w:rsid w:val="00087269"/>
    <w:rsid w:val="0009087C"/>
    <w:rsid w:val="0009472E"/>
    <w:rsid w:val="0009547B"/>
    <w:rsid w:val="00095982"/>
    <w:rsid w:val="00096310"/>
    <w:rsid w:val="0009646E"/>
    <w:rsid w:val="000A0A50"/>
    <w:rsid w:val="000A0B11"/>
    <w:rsid w:val="000A4F09"/>
    <w:rsid w:val="000A733A"/>
    <w:rsid w:val="000B3A85"/>
    <w:rsid w:val="000B5990"/>
    <w:rsid w:val="000C235F"/>
    <w:rsid w:val="000C2828"/>
    <w:rsid w:val="000C2D56"/>
    <w:rsid w:val="000C3EF7"/>
    <w:rsid w:val="000C45A3"/>
    <w:rsid w:val="000C52EA"/>
    <w:rsid w:val="000D0B39"/>
    <w:rsid w:val="000D174C"/>
    <w:rsid w:val="000D3DEC"/>
    <w:rsid w:val="000D426A"/>
    <w:rsid w:val="000D717D"/>
    <w:rsid w:val="000E17EB"/>
    <w:rsid w:val="000E1FC8"/>
    <w:rsid w:val="000E60F2"/>
    <w:rsid w:val="000E64DF"/>
    <w:rsid w:val="000F1566"/>
    <w:rsid w:val="000F1573"/>
    <w:rsid w:val="000F17F7"/>
    <w:rsid w:val="00105E6A"/>
    <w:rsid w:val="001075C7"/>
    <w:rsid w:val="0011096F"/>
    <w:rsid w:val="00113282"/>
    <w:rsid w:val="00116BF8"/>
    <w:rsid w:val="00116DD8"/>
    <w:rsid w:val="00120AB2"/>
    <w:rsid w:val="00121891"/>
    <w:rsid w:val="00125F6B"/>
    <w:rsid w:val="00130975"/>
    <w:rsid w:val="0013654B"/>
    <w:rsid w:val="001374DE"/>
    <w:rsid w:val="00140F53"/>
    <w:rsid w:val="00145A42"/>
    <w:rsid w:val="0014603C"/>
    <w:rsid w:val="00146869"/>
    <w:rsid w:val="00150CDF"/>
    <w:rsid w:val="00164C50"/>
    <w:rsid w:val="0016640E"/>
    <w:rsid w:val="00166615"/>
    <w:rsid w:val="00170997"/>
    <w:rsid w:val="001820DD"/>
    <w:rsid w:val="00182583"/>
    <w:rsid w:val="001849BF"/>
    <w:rsid w:val="00186C0E"/>
    <w:rsid w:val="00187409"/>
    <w:rsid w:val="00195BB4"/>
    <w:rsid w:val="00196B6D"/>
    <w:rsid w:val="00196D66"/>
    <w:rsid w:val="00197F3B"/>
    <w:rsid w:val="001A0135"/>
    <w:rsid w:val="001A29C8"/>
    <w:rsid w:val="001A4477"/>
    <w:rsid w:val="001A5228"/>
    <w:rsid w:val="001A7767"/>
    <w:rsid w:val="001B27D4"/>
    <w:rsid w:val="001B5142"/>
    <w:rsid w:val="001B691E"/>
    <w:rsid w:val="001B71B7"/>
    <w:rsid w:val="001C000E"/>
    <w:rsid w:val="001C3183"/>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D07"/>
    <w:rsid w:val="00247EA8"/>
    <w:rsid w:val="002510D7"/>
    <w:rsid w:val="00255B00"/>
    <w:rsid w:val="00257539"/>
    <w:rsid w:val="002749E0"/>
    <w:rsid w:val="002751EC"/>
    <w:rsid w:val="00277950"/>
    <w:rsid w:val="00277DFF"/>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B0CAD"/>
    <w:rsid w:val="002C17E9"/>
    <w:rsid w:val="002C25BE"/>
    <w:rsid w:val="002C46C3"/>
    <w:rsid w:val="002C7F70"/>
    <w:rsid w:val="002D12F9"/>
    <w:rsid w:val="002D34B9"/>
    <w:rsid w:val="002E289E"/>
    <w:rsid w:val="002E37C6"/>
    <w:rsid w:val="002E4802"/>
    <w:rsid w:val="002E5932"/>
    <w:rsid w:val="002E71E1"/>
    <w:rsid w:val="002E74AE"/>
    <w:rsid w:val="002E74FB"/>
    <w:rsid w:val="002E7B79"/>
    <w:rsid w:val="002F198A"/>
    <w:rsid w:val="002F19E5"/>
    <w:rsid w:val="002F28E3"/>
    <w:rsid w:val="002F3945"/>
    <w:rsid w:val="002F3FCF"/>
    <w:rsid w:val="002F7097"/>
    <w:rsid w:val="0030042D"/>
    <w:rsid w:val="003012B5"/>
    <w:rsid w:val="0030160B"/>
    <w:rsid w:val="00301A93"/>
    <w:rsid w:val="00302AF0"/>
    <w:rsid w:val="003047F2"/>
    <w:rsid w:val="0032017F"/>
    <w:rsid w:val="00320295"/>
    <w:rsid w:val="00321184"/>
    <w:rsid w:val="00324DCB"/>
    <w:rsid w:val="00326E51"/>
    <w:rsid w:val="003329EA"/>
    <w:rsid w:val="00336337"/>
    <w:rsid w:val="00340964"/>
    <w:rsid w:val="00340B4D"/>
    <w:rsid w:val="00341753"/>
    <w:rsid w:val="003437AB"/>
    <w:rsid w:val="00344F2C"/>
    <w:rsid w:val="00345D9B"/>
    <w:rsid w:val="00351089"/>
    <w:rsid w:val="003510DC"/>
    <w:rsid w:val="00352301"/>
    <w:rsid w:val="00354F68"/>
    <w:rsid w:val="0036125E"/>
    <w:rsid w:val="00364810"/>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55A"/>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17C"/>
    <w:rsid w:val="003E2262"/>
    <w:rsid w:val="003E323E"/>
    <w:rsid w:val="003E4170"/>
    <w:rsid w:val="003E75E2"/>
    <w:rsid w:val="00400902"/>
    <w:rsid w:val="00402498"/>
    <w:rsid w:val="0040370F"/>
    <w:rsid w:val="00412343"/>
    <w:rsid w:val="00415760"/>
    <w:rsid w:val="00416639"/>
    <w:rsid w:val="00417242"/>
    <w:rsid w:val="00422E40"/>
    <w:rsid w:val="00423B78"/>
    <w:rsid w:val="0042518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94B2F"/>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241"/>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175A"/>
    <w:rsid w:val="00532285"/>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41F3"/>
    <w:rsid w:val="005A6A23"/>
    <w:rsid w:val="005B562C"/>
    <w:rsid w:val="005B57AF"/>
    <w:rsid w:val="005B5976"/>
    <w:rsid w:val="005C0AA0"/>
    <w:rsid w:val="005C4B42"/>
    <w:rsid w:val="005C5663"/>
    <w:rsid w:val="005C5FC0"/>
    <w:rsid w:val="005D23BB"/>
    <w:rsid w:val="005D27FE"/>
    <w:rsid w:val="005D369E"/>
    <w:rsid w:val="005E3505"/>
    <w:rsid w:val="005E35B1"/>
    <w:rsid w:val="005F17F4"/>
    <w:rsid w:val="005F3AD0"/>
    <w:rsid w:val="00603803"/>
    <w:rsid w:val="0060618C"/>
    <w:rsid w:val="00613849"/>
    <w:rsid w:val="00616987"/>
    <w:rsid w:val="006208B6"/>
    <w:rsid w:val="00621618"/>
    <w:rsid w:val="0062259B"/>
    <w:rsid w:val="00627128"/>
    <w:rsid w:val="00632FFF"/>
    <w:rsid w:val="0063562C"/>
    <w:rsid w:val="00636CE0"/>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1AED"/>
    <w:rsid w:val="00723EEF"/>
    <w:rsid w:val="00726096"/>
    <w:rsid w:val="00726CAB"/>
    <w:rsid w:val="0073111C"/>
    <w:rsid w:val="0073244B"/>
    <w:rsid w:val="007367AE"/>
    <w:rsid w:val="00736E92"/>
    <w:rsid w:val="0074027F"/>
    <w:rsid w:val="00740D16"/>
    <w:rsid w:val="00745B7D"/>
    <w:rsid w:val="0074719F"/>
    <w:rsid w:val="00751F6A"/>
    <w:rsid w:val="007560FF"/>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33B7C"/>
    <w:rsid w:val="008345AD"/>
    <w:rsid w:val="008421B5"/>
    <w:rsid w:val="00843EBE"/>
    <w:rsid w:val="00850FBB"/>
    <w:rsid w:val="00851031"/>
    <w:rsid w:val="0085143E"/>
    <w:rsid w:val="00854D37"/>
    <w:rsid w:val="00861DA4"/>
    <w:rsid w:val="00864E93"/>
    <w:rsid w:val="008705EF"/>
    <w:rsid w:val="0087237C"/>
    <w:rsid w:val="008723BE"/>
    <w:rsid w:val="00872D4F"/>
    <w:rsid w:val="00875895"/>
    <w:rsid w:val="0088224E"/>
    <w:rsid w:val="00882CFA"/>
    <w:rsid w:val="008849B9"/>
    <w:rsid w:val="00884BB8"/>
    <w:rsid w:val="00887506"/>
    <w:rsid w:val="00887EA2"/>
    <w:rsid w:val="00890C21"/>
    <w:rsid w:val="00894E81"/>
    <w:rsid w:val="00896E70"/>
    <w:rsid w:val="008A149E"/>
    <w:rsid w:val="008A15D9"/>
    <w:rsid w:val="008A4502"/>
    <w:rsid w:val="008A48A5"/>
    <w:rsid w:val="008B0B9E"/>
    <w:rsid w:val="008B6A18"/>
    <w:rsid w:val="008C102D"/>
    <w:rsid w:val="008C2AB0"/>
    <w:rsid w:val="008C5CC0"/>
    <w:rsid w:val="008D04C7"/>
    <w:rsid w:val="008D69F5"/>
    <w:rsid w:val="008D7758"/>
    <w:rsid w:val="008E14C7"/>
    <w:rsid w:val="008E485B"/>
    <w:rsid w:val="008E59C2"/>
    <w:rsid w:val="008E7006"/>
    <w:rsid w:val="008E7CE9"/>
    <w:rsid w:val="008F4AE0"/>
    <w:rsid w:val="008F4B80"/>
    <w:rsid w:val="009002AF"/>
    <w:rsid w:val="00900998"/>
    <w:rsid w:val="0090142C"/>
    <w:rsid w:val="009020AE"/>
    <w:rsid w:val="00906644"/>
    <w:rsid w:val="00910877"/>
    <w:rsid w:val="00911109"/>
    <w:rsid w:val="009118F3"/>
    <w:rsid w:val="009149AB"/>
    <w:rsid w:val="009167C9"/>
    <w:rsid w:val="009237BE"/>
    <w:rsid w:val="00925001"/>
    <w:rsid w:val="00926BCD"/>
    <w:rsid w:val="009279D1"/>
    <w:rsid w:val="00940819"/>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C7D65"/>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13F30"/>
    <w:rsid w:val="00A3487B"/>
    <w:rsid w:val="00A4222A"/>
    <w:rsid w:val="00A4401C"/>
    <w:rsid w:val="00A474E3"/>
    <w:rsid w:val="00A508D3"/>
    <w:rsid w:val="00A52944"/>
    <w:rsid w:val="00A52D1C"/>
    <w:rsid w:val="00A53A6F"/>
    <w:rsid w:val="00A546FC"/>
    <w:rsid w:val="00A54D36"/>
    <w:rsid w:val="00A554DC"/>
    <w:rsid w:val="00A62074"/>
    <w:rsid w:val="00A63970"/>
    <w:rsid w:val="00A65B63"/>
    <w:rsid w:val="00A67622"/>
    <w:rsid w:val="00A702E9"/>
    <w:rsid w:val="00A72274"/>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27DE"/>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4D36"/>
    <w:rsid w:val="00B851D8"/>
    <w:rsid w:val="00B91513"/>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2D76"/>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597C"/>
    <w:rsid w:val="00BF5D08"/>
    <w:rsid w:val="00BF629D"/>
    <w:rsid w:val="00C028CB"/>
    <w:rsid w:val="00C02CCC"/>
    <w:rsid w:val="00C07F6D"/>
    <w:rsid w:val="00C120D2"/>
    <w:rsid w:val="00C1662A"/>
    <w:rsid w:val="00C17EC6"/>
    <w:rsid w:val="00C233C7"/>
    <w:rsid w:val="00C35C15"/>
    <w:rsid w:val="00C37416"/>
    <w:rsid w:val="00C45862"/>
    <w:rsid w:val="00C52279"/>
    <w:rsid w:val="00C52E9A"/>
    <w:rsid w:val="00C5691E"/>
    <w:rsid w:val="00C57464"/>
    <w:rsid w:val="00C57AFD"/>
    <w:rsid w:val="00C625AC"/>
    <w:rsid w:val="00C65528"/>
    <w:rsid w:val="00C65BE6"/>
    <w:rsid w:val="00C6617B"/>
    <w:rsid w:val="00C66D8F"/>
    <w:rsid w:val="00C67ABF"/>
    <w:rsid w:val="00C705BC"/>
    <w:rsid w:val="00C738B3"/>
    <w:rsid w:val="00C75F05"/>
    <w:rsid w:val="00C7676A"/>
    <w:rsid w:val="00C76A77"/>
    <w:rsid w:val="00C8003E"/>
    <w:rsid w:val="00C85D28"/>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661F"/>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24B"/>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57A9"/>
    <w:rsid w:val="00D97DAF"/>
    <w:rsid w:val="00DA2D31"/>
    <w:rsid w:val="00DA503C"/>
    <w:rsid w:val="00DA5881"/>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50E8"/>
    <w:rsid w:val="00E1708C"/>
    <w:rsid w:val="00E17D0C"/>
    <w:rsid w:val="00E21667"/>
    <w:rsid w:val="00E22912"/>
    <w:rsid w:val="00E237B1"/>
    <w:rsid w:val="00E23ABD"/>
    <w:rsid w:val="00E23CF9"/>
    <w:rsid w:val="00E24646"/>
    <w:rsid w:val="00E25FAE"/>
    <w:rsid w:val="00E27D75"/>
    <w:rsid w:val="00E306A4"/>
    <w:rsid w:val="00E478C8"/>
    <w:rsid w:val="00E51293"/>
    <w:rsid w:val="00E52AEC"/>
    <w:rsid w:val="00E53541"/>
    <w:rsid w:val="00E53736"/>
    <w:rsid w:val="00E5397D"/>
    <w:rsid w:val="00E54F38"/>
    <w:rsid w:val="00E57F8C"/>
    <w:rsid w:val="00E612C1"/>
    <w:rsid w:val="00E70229"/>
    <w:rsid w:val="00E7784C"/>
    <w:rsid w:val="00E77D9B"/>
    <w:rsid w:val="00E82AFD"/>
    <w:rsid w:val="00E9006F"/>
    <w:rsid w:val="00E90E5B"/>
    <w:rsid w:val="00E94CB2"/>
    <w:rsid w:val="00EA0B45"/>
    <w:rsid w:val="00EA1F51"/>
    <w:rsid w:val="00EA313E"/>
    <w:rsid w:val="00EA34C4"/>
    <w:rsid w:val="00EA4D1C"/>
    <w:rsid w:val="00EA64B9"/>
    <w:rsid w:val="00EB0A93"/>
    <w:rsid w:val="00EB74C8"/>
    <w:rsid w:val="00EB751C"/>
    <w:rsid w:val="00EC0F6C"/>
    <w:rsid w:val="00EC3BDA"/>
    <w:rsid w:val="00ED2965"/>
    <w:rsid w:val="00ED2F16"/>
    <w:rsid w:val="00ED6D9E"/>
    <w:rsid w:val="00ED7CB6"/>
    <w:rsid w:val="00EE28AB"/>
    <w:rsid w:val="00EE68C9"/>
    <w:rsid w:val="00EE7787"/>
    <w:rsid w:val="00F01258"/>
    <w:rsid w:val="00F035D0"/>
    <w:rsid w:val="00F03CC0"/>
    <w:rsid w:val="00F05856"/>
    <w:rsid w:val="00F06702"/>
    <w:rsid w:val="00F10D10"/>
    <w:rsid w:val="00F12DD9"/>
    <w:rsid w:val="00F13E75"/>
    <w:rsid w:val="00F16893"/>
    <w:rsid w:val="00F232E0"/>
    <w:rsid w:val="00F31226"/>
    <w:rsid w:val="00F35982"/>
    <w:rsid w:val="00F36B04"/>
    <w:rsid w:val="00F37B90"/>
    <w:rsid w:val="00F37F01"/>
    <w:rsid w:val="00F419E7"/>
    <w:rsid w:val="00F421AA"/>
    <w:rsid w:val="00F421C9"/>
    <w:rsid w:val="00F64864"/>
    <w:rsid w:val="00F64DDB"/>
    <w:rsid w:val="00F65D28"/>
    <w:rsid w:val="00F71459"/>
    <w:rsid w:val="00F71B46"/>
    <w:rsid w:val="00F81552"/>
    <w:rsid w:val="00F82333"/>
    <w:rsid w:val="00F86F92"/>
    <w:rsid w:val="00F9104B"/>
    <w:rsid w:val="00F91860"/>
    <w:rsid w:val="00F9348B"/>
    <w:rsid w:val="00F95C59"/>
    <w:rsid w:val="00FA3D67"/>
    <w:rsid w:val="00FA6013"/>
    <w:rsid w:val="00FB7EEC"/>
    <w:rsid w:val="00FC0773"/>
    <w:rsid w:val="00FC0B08"/>
    <w:rsid w:val="00FC2F7B"/>
    <w:rsid w:val="00FC66CD"/>
    <w:rsid w:val="00FD0ACA"/>
    <w:rsid w:val="00FD180C"/>
    <w:rsid w:val="00FD21C1"/>
    <w:rsid w:val="00FD4B10"/>
    <w:rsid w:val="00FD62C4"/>
    <w:rsid w:val="00FD7BA2"/>
    <w:rsid w:val="00FE0952"/>
    <w:rsid w:val="00FE1885"/>
    <w:rsid w:val="00FE5ED5"/>
    <w:rsid w:val="00FF79E4"/>
    <w:rsid w:val="1AB0525F"/>
    <w:rsid w:val="2CF664EF"/>
    <w:rsid w:val="3A5D077E"/>
    <w:rsid w:val="3EF147F1"/>
    <w:rsid w:val="4C125F3E"/>
    <w:rsid w:val="5596520C"/>
    <w:rsid w:val="5E723A49"/>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D07"/>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247D07"/>
    <w:rPr>
      <w:sz w:val="18"/>
      <w:szCs w:val="18"/>
    </w:rPr>
  </w:style>
  <w:style w:type="paragraph" w:styleId="a4">
    <w:name w:val="footer"/>
    <w:basedOn w:val="a"/>
    <w:link w:val="Char0"/>
    <w:uiPriority w:val="99"/>
    <w:unhideWhenUsed/>
    <w:qFormat/>
    <w:rsid w:val="00247D07"/>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rsid w:val="00247D0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semiHidden/>
    <w:qFormat/>
    <w:rsid w:val="00247D07"/>
    <w:rPr>
      <w:sz w:val="18"/>
      <w:szCs w:val="18"/>
    </w:rPr>
  </w:style>
  <w:style w:type="character" w:customStyle="1" w:styleId="Char0">
    <w:name w:val="页脚 Char"/>
    <w:basedOn w:val="a0"/>
    <w:link w:val="a4"/>
    <w:uiPriority w:val="99"/>
    <w:qFormat/>
    <w:rsid w:val="00247D07"/>
    <w:rPr>
      <w:sz w:val="18"/>
      <w:szCs w:val="18"/>
    </w:rPr>
  </w:style>
  <w:style w:type="paragraph" w:customStyle="1" w:styleId="Default">
    <w:name w:val="Default"/>
    <w:rsid w:val="00247D07"/>
    <w:pPr>
      <w:widowControl w:val="0"/>
      <w:autoSpaceDE w:val="0"/>
      <w:autoSpaceDN w:val="0"/>
      <w:adjustRightInd w:val="0"/>
    </w:pPr>
    <w:rPr>
      <w:rFonts w:ascii="...." w:eastAsia="...." w:hAnsi="Calibri" w:cs="Times New Roman"/>
      <w:color w:val="000000"/>
      <w:sz w:val="24"/>
      <w:szCs w:val="24"/>
    </w:rPr>
  </w:style>
  <w:style w:type="character" w:customStyle="1" w:styleId="Char">
    <w:name w:val="批注框文本 Char"/>
    <w:basedOn w:val="a0"/>
    <w:link w:val="a3"/>
    <w:uiPriority w:val="99"/>
    <w:semiHidden/>
    <w:rsid w:val="00247D07"/>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777D12-A80C-4652-8E6C-AA80D4E43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1786</Words>
  <Characters>1929</Characters>
  <Application>Microsoft Office Word</Application>
  <DocSecurity>0</DocSecurity>
  <Lines>101</Lines>
  <Paragraphs>92</Paragraphs>
  <ScaleCrop>false</ScaleCrop>
  <Company>微软中国</Company>
  <LinksUpToDate>false</LinksUpToDate>
  <CharactersWithSpaces>3623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349</cp:revision>
  <dcterms:created xsi:type="dcterms:W3CDTF">2019-01-14T02:08:00Z</dcterms:created>
  <dcterms:modified xsi:type="dcterms:W3CDTF">2025-09-25T08:35:00Z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