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南银理财珠联璧合鑫悦享月月盈公募人民币理财产品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南银理财珠联璧合鑫悦享月月盈公募人民币理财产品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Z7003220000010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2019年09月26日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1,373,371,164.70</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100.31%</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鑫元基金管理有限公司,鑫沅资产管理有限公司,江苏省国际信托有限责任公司,华鑫证券有限责任公司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1,475,320,271.92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1.1381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1.2302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24,600.00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10,809,595.02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1.1490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1.1761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Z41002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76,184,267.84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1.1386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1.1386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Z42002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855,943.50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1.1330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1.1330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国内债券市场大概率延续低位震荡运行格局，收益率难现单边趋势性行情，核心源于多空因素深度交织、基本面与政策面持续博弈，利率上下空间均受到约束。策略上以中性久期策略为核心，将票息收益作为组合收益的主要来源，在震荡调整中把握逢高配置窗口，灵活把握长端利率波段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Z40002份额净值为1.1381元，Z40007份额净值为1.1490元，Z41002份额净值为1.1386元，Z42002份额净值为1.1330</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98.95</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1.05</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农业银行杭州分行活期存款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802,435,060.17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51.33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491,437,387.68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31.44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76,899,153.53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42,854,793.31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ZJQTT202605150001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32,144,937.89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ZJQTT202111100001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鑫沅资产金梅花631号集合资产管理计划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31,978,685.85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114191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22扬旅01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30,255,810.00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XJCKX202504280001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华夏银行南京分行活期存款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20,042,788.60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XJCKX202306070001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建设银行深圳分行活期存款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11,493,333.56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182482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22余工02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10,209,960.00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0.65</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0120040000000331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南京银行鑫悦享月月盈</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1259660.88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47060.11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175505.45</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