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A65C20" w:rsidP="00823B7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南银理财珠联璧合鑫逸稳两年119期封闭式公募人民币理财产品</w:t>
      </w:r>
    </w:p>
    <w:p w:rsidR="00EB0DA3" w:rsidRDefault="00A65C20" w:rsidP="00823B7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2026</w:t>
      </w:r>
      <w:r>
        <w:rPr>
          <w:rFonts w:ascii="方正黑体简体" w:eastAsia="方正黑体简体" w:hAnsi="黑体"/>
          <w:sz w:val="36"/>
        </w:rPr>
        <w:t>年半</w:t>
      </w:r>
      <w:r>
        <w:rPr>
          <w:rFonts w:ascii="方正黑体简体" w:eastAsia="方正黑体简体" w:hAnsi="Calibri" w:hint="eastAsia"/>
          <w:sz w:val="36"/>
        </w:rPr>
        <w:t>年度</w:t>
      </w:r>
      <w:r>
        <w:rPr>
          <w:rFonts w:ascii="方正黑体简体" w:eastAsia="方正黑体简体" w:hAnsi="黑体"/>
          <w:sz w:val="36"/>
        </w:rPr>
        <w:t>报告</w:t>
      </w: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b/>
          <w:sz w:val="24"/>
          <w:szCs w:val="24"/>
        </w:rPr>
        <w:t>南银理财有限责任公司</w:t>
      </w: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b/>
          <w:sz w:val="24"/>
          <w:szCs w:val="24"/>
        </w:rPr>
        <w:t>南京银行股份有限公司</w:t>
      </w:r>
    </w:p>
    <w:p w:rsidR="00EB0DA3" w:rsidRDefault="00EB0DA3" w:rsidP="00823B75">
      <w:pPr>
        <w:spacing w:before="240" w:afterLines="30" w:line="360" w:lineRule="auto"/>
        <w:jc w:val="center"/>
        <w:rPr>
          <w:rFonts w:ascii="方正黑体简体" w:eastAsia="方正黑体简体"/>
          <w:sz w:val="36"/>
        </w:rPr>
      </w:pPr>
    </w:p>
    <w:p w:rsidR="00EB0DA3" w:rsidRDefault="00A65C20">
      <w:pPr>
        <w:widowControl/>
        <w:jc w:val="left"/>
        <w:rPr>
          <w:rFonts w:ascii="方正黑体简体" w:eastAsia="方正黑体简体"/>
          <w:sz w:val="36"/>
        </w:rPr>
      </w:pPr>
      <w:r>
        <w:rPr>
          <w:rFonts w:ascii="方正黑体简体" w:eastAsia="方正黑体简体"/>
          <w:sz w:val="36"/>
        </w:rPr>
        <w:br w:type="page"/>
      </w:r>
    </w:p>
    <w:p w:rsidR="00EB0DA3" w:rsidRDefault="00A65C20" w:rsidP="00823B75">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南银理财珠联璧合鑫逸稳两年119期封闭式公募人民币理财产品</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Z7003225000135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2025年05月28日</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173,438,506.00</w:t>
            </w:r>
            <w:r>
              <w:rPr>
                <w:rFonts w:ascii="方正仿宋简体" w:eastAsia="方正仿宋简体" w:hint="eastAsia"/>
                <w:sz w:val="24"/>
                <w:szCs w:val="24"/>
              </w:rPr>
              <w:t>份</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sz w:val="24"/>
                <w:szCs w:val="24"/>
              </w:rPr>
              <w:t>100.28%</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国投泰康信托有限公司,江苏省国际信托有限责任公司,中粮信托有限责任公司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EB0DA3" w:rsidRDefault="00EB0DA3" w:rsidP="00823B75">
      <w:pPr>
        <w:spacing w:before="240" w:afterLines="30" w:line="360" w:lineRule="auto"/>
        <w:rPr>
          <w:rFonts w:ascii="方正仿宋简体" w:eastAsia="方正仿宋简体" w:hAnsi="Calibri"/>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EB0DA3" w:rsidRDefault="00A65C20" w:rsidP="00823B7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EB0DA3">
        <w:trPr>
          <w:trHeight w:val="744"/>
          <w:jc w:val="center"/>
        </w:trPr>
        <w:tc>
          <w:tcPr>
            <w:tcW w:w="1348" w:type="dxa"/>
            <w:vMerge w:val="restart"/>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2026年01月01日 - 2026年06月30日</w:t>
            </w:r>
            <w:r>
              <w:rPr>
                <w:rFonts w:ascii="方正仿宋简体" w:eastAsia="方正仿宋简体" w:hint="eastAsia"/>
                <w:sz w:val="24"/>
                <w:szCs w:val="24"/>
                <w:shd w:val="clear" w:color="auto" w:fill="FFFFFF"/>
              </w:rPr>
              <w:t>）</w:t>
            </w:r>
          </w:p>
        </w:tc>
      </w:tr>
      <w:tr w:rsidR="00EB0DA3">
        <w:trPr>
          <w:trHeight w:val="1563"/>
          <w:jc w:val="center"/>
        </w:trPr>
        <w:tc>
          <w:tcPr>
            <w:tcW w:w="1348" w:type="dxa"/>
            <w:vMerge/>
            <w:vAlign w:val="center"/>
          </w:tcPr>
          <w:p w:rsidR="00EB0DA3" w:rsidRDefault="00EB0DA3" w:rsidP="00823B75">
            <w:pPr>
              <w:spacing w:beforeLines="20" w:afterLines="20"/>
              <w:jc w:val="center"/>
              <w:rPr>
                <w:rFonts w:ascii="方正仿宋简体" w:eastAsia="方正仿宋简体"/>
                <w:sz w:val="24"/>
                <w:szCs w:val="24"/>
                <w:shd w:val="clear" w:color="auto" w:fill="FFFFFF"/>
              </w:rPr>
            </w:pPr>
          </w:p>
        </w:tc>
        <w:tc>
          <w:tcPr>
            <w:tcW w:w="229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888"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198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Y60119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107,596,665.24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5,130.00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Y61119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68,524,961.46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Y62119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2,477,349.50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债市大概率维持震荡偏强格局，利率中枢有望小幅下移但空间有限。基本面方面，经济K型分化延续，传统经济融资需求走弱加剧资产缺口，货币政策宽松取向不变，央行接受利率有克制地平稳下行.计10年期国债运行区间在1.60%-1.80%,策略上保持多头思维，短端品种确定性较强仍相对占优，组合久期阶段性保持中性偏高以捕捉利率下行机会，在震荡调整中把握逢高配置窗口。</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EB0DA3" w:rsidRDefault="00A65C20" w:rsidP="00823B7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Y60119份额净值为1.0293元，Y61119份额净值为1.0303元，Y62119份额净值为1.0314</w:t>
      </w:r>
      <w:r>
        <w:rPr>
          <w:rFonts w:ascii="方正仿宋简体" w:eastAsia="方正仿宋简体" w:hint="eastAsia"/>
          <w:sz w:val="24"/>
          <w:szCs w:val="24"/>
        </w:rPr>
        <w:t>元。</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95.27</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88.03</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11.97</w:t>
            </w:r>
            <w:r>
              <w:rPr>
                <w:rFonts w:ascii="方正仿宋简体" w:eastAsia="方正仿宋简体" w:hAnsiTheme="minorEastAsia"/>
                <w:sz w:val="24"/>
                <w:szCs w:val="24"/>
              </w:rPr>
              <w:t>%</w:t>
            </w:r>
          </w:p>
        </w:tc>
      </w:tr>
      <w:tr w:rsidR="00EB0DA3">
        <w:trPr>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4.73</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EB0DA3" w:rsidRDefault="00EB0DA3" w:rsidP="00823B75">
      <w:pPr>
        <w:spacing w:before="240" w:afterLines="30" w:line="360" w:lineRule="auto"/>
        <w:rPr>
          <w:rFonts w:ascii="方正仿宋简体" w:eastAsia="方正仿宋简体"/>
          <w:b/>
          <w:sz w:val="24"/>
          <w:szCs w:val="24"/>
        </w:rPr>
      </w:pPr>
    </w:p>
    <w:p w:rsidR="00EB0DA3" w:rsidRDefault="00A65C20" w:rsidP="00823B75">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EB0DA3">
        <w:trPr>
          <w:trHeight w:val="1322"/>
          <w:jc w:val="center"/>
        </w:trPr>
        <w:tc>
          <w:tcPr>
            <w:tcW w:w="704"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ZJQTT202207200001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95,501,216.84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53.47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53,627,514.99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国投泰康信托福佳7号集合资金信托计划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17,683,214.08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HHQTT202601270003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国投泰康信托福佳严选1号集合资金信托计划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8,472,003.76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4.74</w:t>
            </w:r>
          </w:p>
        </w:tc>
      </w:tr>
    </w:tbl>
    <w:p w:rsidR="00EB0DA3" w:rsidRDefault="00EB0DA3" w:rsidP="00823B75">
      <w:pPr>
        <w:spacing w:before="240" w:afterLines="30" w:line="360" w:lineRule="auto"/>
        <w:rPr>
          <w:rFonts w:ascii="方正仿宋简体" w:eastAsia="方正仿宋简体" w:hAnsi="宋体" w:cs="宋体"/>
          <w:sz w:val="24"/>
          <w:szCs w:val="24"/>
          <w:shd w:val="clear" w:color="auto" w:fill="FFFFFF"/>
        </w:rPr>
      </w:pPr>
    </w:p>
    <w:p w:rsidR="00EB0DA3" w:rsidRDefault="00A65C20" w:rsidP="00823B7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EB0DA3">
        <w:trPr>
          <w:jc w:val="center"/>
        </w:trPr>
        <w:tc>
          <w:tcPr>
            <w:tcW w:w="70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EB0DA3">
        <w:trPr>
          <w:trHeight w:val="705"/>
          <w:jc w:val="center"/>
        </w:trPr>
        <w:tc>
          <w:tcPr>
            <w:tcW w:w="968"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0101060000001519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南银理财珠联璧合鑫逸稳两年119期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7</w:t>
      </w:r>
      <w:r>
        <w:rPr>
          <w:rFonts w:ascii="方正仿宋简体" w:eastAsia="方正仿宋简体" w:hint="eastAsia"/>
          <w:b/>
          <w:sz w:val="24"/>
          <w:szCs w:val="24"/>
        </w:rPr>
        <w:t xml:space="preserve"> </w:t>
      </w:r>
      <w:r>
        <w:rPr>
          <w:rFonts w:ascii="方正仿宋简体" w:eastAsia="方正仿宋简体" w:hint="eastAsia"/>
          <w:b/>
          <w:sz w:val="24"/>
          <w:szCs w:val="24"/>
        </w:rPr>
        <w:t>关联交易情况</w:t>
      </w:r>
    </w:p>
    <w:p w:rsidR="00EB0DA3" w:rsidRDefault="00823B75">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A65C20">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352B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2</w:t>
      </w:r>
      <w:r w:rsidR="00A65C20">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087C2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3</w:t>
      </w:r>
      <w:r w:rsidR="00A65C20">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150B02">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4</w:t>
      </w:r>
      <w:r w:rsidR="00A65C20">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EB0DA3">
        <w:trPr>
          <w:trHeight w:val="1048"/>
          <w:jc w:val="center"/>
        </w:trPr>
        <w:tc>
          <w:tcPr>
            <w:tcW w:w="87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82744.14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3355.93</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EB0DA3" w:rsidRDefault="00A65C20" w:rsidP="00EB0DA3">
      <w:pPr>
        <w:wordWrap w:val="0"/>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EB0DA3" w:rsidSect="00EB0DA3">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C20" w:rsidRDefault="00A65C20" w:rsidP="00EB0DA3">
      <w:r>
        <w:separator/>
      </w:r>
    </w:p>
  </w:endnote>
  <w:endnote w:type="continuationSeparator" w:id="1">
    <w:p w:rsidR="00A65C20" w:rsidRDefault="00A65C20" w:rsidP="00EB0D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framePr w:wrap="around" w:vAnchor="text" w:hAnchor="margin" w:xAlign="center" w:y="1"/>
      <w:rPr>
        <w:rStyle w:val="aa"/>
      </w:rPr>
    </w:pPr>
    <w:r>
      <w:fldChar w:fldCharType="begin"/>
    </w:r>
    <w:r w:rsidR="00A65C20">
      <w:rPr>
        <w:rStyle w:val="aa"/>
      </w:rPr>
      <w:instrText xml:space="preserve">PAGE  </w:instrText>
    </w:r>
    <w:r>
      <w:fldChar w:fldCharType="end"/>
    </w:r>
  </w:p>
  <w:p w:rsidR="00EB0DA3" w:rsidRDefault="00EB0DA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C20" w:rsidRDefault="00A65C20" w:rsidP="00EB0DA3">
      <w:r>
        <w:separator/>
      </w:r>
    </w:p>
  </w:footnote>
  <w:footnote w:type="continuationSeparator" w:id="1">
    <w:p w:rsidR="00A65C20" w:rsidRDefault="00A65C20" w:rsidP="00EB0D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0A95"/>
    <w:rsid w:val="000060E5"/>
    <w:rsid w:val="00015019"/>
    <w:rsid w:val="00020378"/>
    <w:rsid w:val="000234FF"/>
    <w:rsid w:val="00026D52"/>
    <w:rsid w:val="000318AA"/>
    <w:rsid w:val="00034FF6"/>
    <w:rsid w:val="00044BFF"/>
    <w:rsid w:val="000470C2"/>
    <w:rsid w:val="0005474A"/>
    <w:rsid w:val="00061725"/>
    <w:rsid w:val="000633AA"/>
    <w:rsid w:val="00066A9A"/>
    <w:rsid w:val="000737ED"/>
    <w:rsid w:val="00087C24"/>
    <w:rsid w:val="00095B95"/>
    <w:rsid w:val="000A3711"/>
    <w:rsid w:val="000D5066"/>
    <w:rsid w:val="000E6ACE"/>
    <w:rsid w:val="000F06ED"/>
    <w:rsid w:val="000F27F1"/>
    <w:rsid w:val="000F6191"/>
    <w:rsid w:val="00113F5F"/>
    <w:rsid w:val="001279EA"/>
    <w:rsid w:val="00130CE8"/>
    <w:rsid w:val="0013364F"/>
    <w:rsid w:val="00140660"/>
    <w:rsid w:val="0014449D"/>
    <w:rsid w:val="00150B02"/>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2B79"/>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3B75"/>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5C20"/>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A3"/>
    <w:rsid w:val="00EB0DB4"/>
    <w:rsid w:val="00EB44BE"/>
    <w:rsid w:val="00EC5C4D"/>
    <w:rsid w:val="00ED1047"/>
    <w:rsid w:val="00ED5226"/>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2C5D4363"/>
    <w:rsid w:val="2FFC4204"/>
    <w:rsid w:val="32955A2A"/>
    <w:rsid w:val="329707DE"/>
    <w:rsid w:val="32AE1BB2"/>
    <w:rsid w:val="36341C31"/>
    <w:rsid w:val="368076E6"/>
    <w:rsid w:val="369A0F5F"/>
    <w:rsid w:val="378F5AE0"/>
    <w:rsid w:val="37F709A6"/>
    <w:rsid w:val="39E872E9"/>
    <w:rsid w:val="3ABE1FB8"/>
    <w:rsid w:val="3B4429A4"/>
    <w:rsid w:val="3C753CC7"/>
    <w:rsid w:val="3F2C3B54"/>
    <w:rsid w:val="40990310"/>
    <w:rsid w:val="459870AF"/>
    <w:rsid w:val="45ED49CE"/>
    <w:rsid w:val="46F0109E"/>
    <w:rsid w:val="47475A63"/>
    <w:rsid w:val="4D8028F7"/>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DA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B0DA3"/>
    <w:pPr>
      <w:jc w:val="left"/>
    </w:pPr>
  </w:style>
  <w:style w:type="paragraph" w:styleId="a4">
    <w:name w:val="Balloon Text"/>
    <w:basedOn w:val="a"/>
    <w:link w:val="Char0"/>
    <w:uiPriority w:val="99"/>
    <w:unhideWhenUsed/>
    <w:qFormat/>
    <w:rsid w:val="00EB0DA3"/>
    <w:rPr>
      <w:sz w:val="18"/>
      <w:szCs w:val="18"/>
    </w:rPr>
  </w:style>
  <w:style w:type="paragraph" w:styleId="a5">
    <w:name w:val="footer"/>
    <w:basedOn w:val="a"/>
    <w:link w:val="Char1"/>
    <w:uiPriority w:val="99"/>
    <w:unhideWhenUsed/>
    <w:qFormat/>
    <w:rsid w:val="00EB0DA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EB0DA3"/>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EB0DA3"/>
    <w:pPr>
      <w:snapToGrid w:val="0"/>
      <w:jc w:val="left"/>
    </w:pPr>
    <w:rPr>
      <w:sz w:val="18"/>
    </w:rPr>
  </w:style>
  <w:style w:type="paragraph" w:styleId="a8">
    <w:name w:val="Normal (Web)"/>
    <w:basedOn w:val="a"/>
    <w:qFormat/>
    <w:rsid w:val="00EB0DA3"/>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EB0DA3"/>
    <w:rPr>
      <w:b/>
      <w:bCs/>
    </w:rPr>
  </w:style>
  <w:style w:type="character" w:styleId="aa">
    <w:name w:val="page number"/>
    <w:basedOn w:val="a0"/>
    <w:uiPriority w:val="99"/>
    <w:unhideWhenUsed/>
    <w:qFormat/>
    <w:rsid w:val="00EB0DA3"/>
  </w:style>
  <w:style w:type="character" w:styleId="ab">
    <w:name w:val="annotation reference"/>
    <w:uiPriority w:val="99"/>
    <w:unhideWhenUsed/>
    <w:qFormat/>
    <w:rsid w:val="00EB0DA3"/>
    <w:rPr>
      <w:sz w:val="21"/>
      <w:szCs w:val="21"/>
    </w:rPr>
  </w:style>
  <w:style w:type="character" w:styleId="ac">
    <w:name w:val="footnote reference"/>
    <w:uiPriority w:val="99"/>
    <w:unhideWhenUsed/>
    <w:qFormat/>
    <w:rsid w:val="00EB0DA3"/>
    <w:rPr>
      <w:vertAlign w:val="superscript"/>
    </w:rPr>
  </w:style>
  <w:style w:type="character" w:customStyle="1" w:styleId="Char0">
    <w:name w:val="批注框文本 Char"/>
    <w:link w:val="a4"/>
    <w:uiPriority w:val="99"/>
    <w:semiHidden/>
    <w:qFormat/>
    <w:rsid w:val="00EB0DA3"/>
    <w:rPr>
      <w:kern w:val="2"/>
      <w:sz w:val="18"/>
      <w:szCs w:val="18"/>
    </w:rPr>
  </w:style>
  <w:style w:type="character" w:customStyle="1" w:styleId="Char2">
    <w:name w:val="页眉 Char"/>
    <w:link w:val="a6"/>
    <w:uiPriority w:val="99"/>
    <w:semiHidden/>
    <w:qFormat/>
    <w:locked/>
    <w:rsid w:val="00EB0DA3"/>
    <w:rPr>
      <w:rFonts w:ascii="Times New Roman" w:hAnsi="Times New Roman" w:cs="Times New Roman" w:hint="default"/>
      <w:sz w:val="18"/>
      <w:szCs w:val="18"/>
    </w:rPr>
  </w:style>
  <w:style w:type="character" w:customStyle="1" w:styleId="Char3">
    <w:name w:val="批注主题 Char"/>
    <w:link w:val="a9"/>
    <w:uiPriority w:val="99"/>
    <w:semiHidden/>
    <w:qFormat/>
    <w:rsid w:val="00EB0DA3"/>
    <w:rPr>
      <w:b/>
      <w:bCs/>
      <w:kern w:val="2"/>
      <w:sz w:val="21"/>
      <w:szCs w:val="22"/>
    </w:rPr>
  </w:style>
  <w:style w:type="character" w:customStyle="1" w:styleId="Char1">
    <w:name w:val="页脚 Char"/>
    <w:link w:val="a5"/>
    <w:uiPriority w:val="99"/>
    <w:semiHidden/>
    <w:qFormat/>
    <w:locked/>
    <w:rsid w:val="00EB0DA3"/>
    <w:rPr>
      <w:rFonts w:ascii="Times New Roman" w:hAnsi="Times New Roman" w:cs="Times New Roman" w:hint="default"/>
      <w:sz w:val="18"/>
      <w:szCs w:val="18"/>
    </w:rPr>
  </w:style>
  <w:style w:type="character" w:customStyle="1" w:styleId="Char">
    <w:name w:val="批注文字 Char"/>
    <w:link w:val="a3"/>
    <w:uiPriority w:val="99"/>
    <w:qFormat/>
    <w:rsid w:val="00EB0DA3"/>
    <w:rPr>
      <w:kern w:val="2"/>
      <w:sz w:val="21"/>
      <w:szCs w:val="22"/>
    </w:rPr>
  </w:style>
  <w:style w:type="paragraph" w:customStyle="1" w:styleId="zhongyaotishi">
    <w:name w:val="zhongyaotishi"/>
    <w:basedOn w:val="a"/>
    <w:qFormat/>
    <w:rsid w:val="00EB0DA3"/>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EB0DA3"/>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EB0DA3"/>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EB0DA3"/>
    <w:pPr>
      <w:widowControl w:val="0"/>
      <w:jc w:val="center"/>
    </w:pPr>
    <w:rPr>
      <w:kern w:val="2"/>
      <w:sz w:val="33"/>
      <w:szCs w:val="22"/>
    </w:rPr>
  </w:style>
  <w:style w:type="paragraph" w:customStyle="1" w:styleId="biaogeleft">
    <w:name w:val="biaoge_left"/>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EB0DA3"/>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EB0DA3"/>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EB0DA3"/>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EB0DA3"/>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EB0DA3"/>
    <w:pPr>
      <w:widowControl w:val="0"/>
    </w:pPr>
    <w:rPr>
      <w:kern w:val="2"/>
      <w:sz w:val="21"/>
      <w:szCs w:val="22"/>
    </w:rPr>
  </w:style>
  <w:style w:type="paragraph" w:customStyle="1" w:styleId="neirong">
    <w:name w:val="neirong"/>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EB0DA3"/>
    <w:pPr>
      <w:jc w:val="both"/>
    </w:pPr>
    <w:rPr>
      <w:kern w:val="2"/>
      <w:sz w:val="21"/>
      <w:szCs w:val="21"/>
    </w:rPr>
  </w:style>
  <w:style w:type="paragraph" w:customStyle="1" w:styleId="Default">
    <w:name w:val="Default"/>
    <w:qFormat/>
    <w:rsid w:val="00EB0DA3"/>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421</Words>
  <Characters>2404</Characters>
  <Application>Microsoft Office Word</Application>
  <DocSecurity>0</DocSecurity>
  <Lines>20</Lines>
  <Paragraphs>5</Paragraphs>
  <ScaleCrop>false</ScaleCrop>
  <Company>微软中国</Company>
  <LinksUpToDate>false</LinksUpToDate>
  <CharactersWithSpaces>2820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2026-03-27T09:06:00Z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AA6D690BD87C4F7C84DD3EB28F7DAAAC</vt:lpwstr>
  </property>
</Properties>
</file>