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EB0DA3" w:rsidP="00823B75">
      <w:pPr>
        <w:spacing w:before="240" w:afterLines="30" w:line="360" w:lineRule="auto"/>
        <w:jc w:val="center"/>
      </w:pPr>
    </w:p>
    <w:p w:rsidR="00EB0DA3" w:rsidRDefault="00A65C20" w:rsidP="00823B7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南银理财珠联璧合鑫逸稳一年237期封闭式公募人民币理财产品</w:t>
      </w:r>
    </w:p>
    <w:p w:rsidR="00EB0DA3" w:rsidRDefault="00A65C20" w:rsidP="00823B7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2026</w:t>
      </w:r>
      <w:r>
        <w:rPr>
          <w:rFonts w:ascii="方正黑体简体" w:eastAsia="方正黑体简体" w:hAnsi="黑体"/>
          <w:sz w:val="36"/>
        </w:rPr>
        <w:t>年半</w:t>
      </w:r>
      <w:r>
        <w:rPr>
          <w:rFonts w:ascii="方正黑体简体" w:eastAsia="方正黑体简体" w:hAnsi="Calibri" w:hint="eastAsia"/>
          <w:sz w:val="36"/>
        </w:rPr>
        <w:t>年度</w:t>
      </w:r>
      <w:r>
        <w:rPr>
          <w:rFonts w:ascii="方正黑体简体" w:eastAsia="方正黑体简体" w:hAnsi="黑体"/>
          <w:sz w:val="36"/>
        </w:rPr>
        <w:t>报告</w:t>
      </w: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EB0DA3" w:rsidP="00823B75">
      <w:pPr>
        <w:spacing w:before="240" w:afterLines="30" w:line="360" w:lineRule="auto"/>
        <w:jc w:val="center"/>
        <w:rPr>
          <w:rFonts w:ascii="方正黑体简体" w:eastAsia="方正黑体简体"/>
          <w:sz w:val="36"/>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w:t>
      </w:r>
      <w:r>
        <w:rPr>
          <w:rFonts w:ascii="方正仿宋简体" w:eastAsia="方正仿宋简体"/>
          <w:b/>
          <w:sz w:val="24"/>
          <w:szCs w:val="24"/>
        </w:rPr>
        <w:t>南银理财有限责任公司</w:t>
      </w: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w:t>
      </w:r>
      <w:r>
        <w:rPr>
          <w:rFonts w:ascii="方正仿宋简体" w:eastAsia="方正仿宋简体"/>
          <w:b/>
          <w:sz w:val="24"/>
          <w:szCs w:val="24"/>
        </w:rPr>
        <w:t>南京银行股份有限公司</w:t>
      </w:r>
    </w:p>
    <w:p w:rsidR="00EB0DA3" w:rsidRDefault="00EB0DA3" w:rsidP="00823B75">
      <w:pPr>
        <w:spacing w:before="240" w:afterLines="30" w:line="360" w:lineRule="auto"/>
        <w:jc w:val="center"/>
        <w:rPr>
          <w:rFonts w:ascii="方正黑体简体" w:eastAsia="方正黑体简体"/>
          <w:sz w:val="36"/>
        </w:rPr>
      </w:pPr>
    </w:p>
    <w:p w:rsidR="00EB0DA3" w:rsidRDefault="00A65C20">
      <w:pPr>
        <w:widowControl/>
        <w:jc w:val="left"/>
        <w:rPr>
          <w:rFonts w:ascii="方正黑体简体" w:eastAsia="方正黑体简体"/>
          <w:sz w:val="36"/>
        </w:rPr>
      </w:pPr>
      <w:r>
        <w:rPr>
          <w:rFonts w:ascii="方正黑体简体" w:eastAsia="方正黑体简体"/>
          <w:sz w:val="36"/>
        </w:rPr>
        <w:br w:type="page"/>
      </w:r>
    </w:p>
    <w:p w:rsidR="00EB0DA3" w:rsidRDefault="00A65C20" w:rsidP="00823B75">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w:t>
      </w:r>
      <w:r>
        <w:rPr>
          <w:rFonts w:ascii="方正仿宋简体" w:eastAsia="方正仿宋简体" w:hAnsi="Calibri" w:hint="eastAsia"/>
          <w:b/>
          <w:sz w:val="24"/>
          <w:szCs w:val="24"/>
        </w:rPr>
        <w:t xml:space="preserve">1 </w:t>
      </w:r>
      <w:r>
        <w:rPr>
          <w:rFonts w:ascii="方正仿宋简体" w:eastAsia="方正仿宋简体" w:hAnsi="Calibri" w:hint="eastAsia"/>
          <w:b/>
          <w:sz w:val="24"/>
          <w:szCs w:val="24"/>
        </w:rPr>
        <w:t>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南银理财珠联璧合鑫逸稳一年237期封闭式公募人民币理财产品</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Z7003225000292</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2025年09月03日</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1,160,969,564.00</w:t>
            </w:r>
            <w:r>
              <w:rPr>
                <w:rFonts w:ascii="方正仿宋简体" w:eastAsia="方正仿宋简体" w:hint="eastAsia"/>
                <w:sz w:val="24"/>
                <w:szCs w:val="24"/>
              </w:rPr>
              <w:t>份</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sz w:val="24"/>
                <w:szCs w:val="24"/>
              </w:rPr>
              <w:t>100.13%</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鑫元基金管理有限公司,国投泰康信托有限公司,五矿国际信托有限公司,江苏省国际信托有限责任公司,紫金信托有限责任公司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EB0DA3">
        <w:tc>
          <w:tcPr>
            <w:tcW w:w="289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EB0DA3" w:rsidRDefault="00A65C20" w:rsidP="00823B7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EB0DA3" w:rsidRDefault="00EB0DA3" w:rsidP="00823B75">
      <w:pPr>
        <w:spacing w:before="240" w:afterLines="30" w:line="360" w:lineRule="auto"/>
        <w:rPr>
          <w:rFonts w:ascii="方正仿宋简体" w:eastAsia="方正仿宋简体" w:hAnsi="Calibri"/>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2  </w:t>
      </w:r>
      <w:r>
        <w:rPr>
          <w:rFonts w:ascii="方正仿宋简体" w:eastAsia="方正仿宋简体" w:hAnsi="Calibri" w:hint="eastAsia"/>
          <w:b/>
          <w:sz w:val="24"/>
          <w:szCs w:val="24"/>
        </w:rPr>
        <w:t>主要财务指标</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EB0DA3" w:rsidRDefault="00A65C20" w:rsidP="00823B7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EB0DA3">
        <w:trPr>
          <w:trHeight w:val="744"/>
          <w:jc w:val="center"/>
        </w:trPr>
        <w:tc>
          <w:tcPr>
            <w:tcW w:w="1348" w:type="dxa"/>
            <w:vMerge w:val="restart"/>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w:t>
            </w:r>
            <w:r>
              <w:rPr>
                <w:rFonts w:ascii="方正仿宋简体" w:eastAsia="方正仿宋简体" w:hint="eastAsia"/>
                <w:sz w:val="24"/>
                <w:szCs w:val="24"/>
                <w:shd w:val="clear" w:color="auto" w:fill="FFFFFF"/>
              </w:rPr>
              <w:t>2026年01月01日 - 2026年06月30日</w:t>
            </w:r>
            <w:r>
              <w:rPr>
                <w:rFonts w:ascii="方正仿宋简体" w:eastAsia="方正仿宋简体" w:hint="eastAsia"/>
                <w:sz w:val="24"/>
                <w:szCs w:val="24"/>
                <w:shd w:val="clear" w:color="auto" w:fill="FFFFFF"/>
              </w:rPr>
              <w:t>）</w:t>
            </w:r>
          </w:p>
        </w:tc>
      </w:tr>
      <w:tr w:rsidR="00EB0DA3">
        <w:trPr>
          <w:trHeight w:val="1563"/>
          <w:jc w:val="center"/>
        </w:trPr>
        <w:tc>
          <w:tcPr>
            <w:tcW w:w="1348" w:type="dxa"/>
            <w:vMerge/>
            <w:vAlign w:val="center"/>
          </w:tcPr>
          <w:p w:rsidR="00EB0DA3" w:rsidRDefault="00EB0DA3" w:rsidP="00823B75">
            <w:pPr>
              <w:spacing w:beforeLines="20" w:afterLines="20"/>
              <w:jc w:val="center"/>
              <w:rPr>
                <w:rFonts w:ascii="方正仿宋简体" w:eastAsia="方正仿宋简体"/>
                <w:sz w:val="24"/>
                <w:szCs w:val="24"/>
                <w:shd w:val="clear" w:color="auto" w:fill="FFFFFF"/>
              </w:rPr>
            </w:pPr>
          </w:p>
        </w:tc>
        <w:tc>
          <w:tcPr>
            <w:tcW w:w="229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w:t>
            </w:r>
            <w:r>
              <w:rPr>
                <w:rFonts w:ascii="方正仿宋简体" w:eastAsia="方正仿宋简体" w:hint="eastAsia"/>
                <w:sz w:val="24"/>
                <w:szCs w:val="24"/>
                <w:shd w:val="clear" w:color="auto" w:fill="FFFFFF"/>
              </w:rPr>
              <w:t>期末产品最后一个市场交易日资产净值</w:t>
            </w:r>
          </w:p>
        </w:tc>
        <w:tc>
          <w:tcPr>
            <w:tcW w:w="1888"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w:t>
            </w:r>
            <w:r>
              <w:rPr>
                <w:rFonts w:ascii="方正仿宋简体" w:eastAsia="方正仿宋简体" w:hint="eastAsia"/>
                <w:sz w:val="24"/>
                <w:szCs w:val="24"/>
                <w:shd w:val="clear" w:color="auto" w:fill="FFFFFF"/>
              </w:rPr>
              <w:t>期末产品最后一个市场交易日份额净值</w:t>
            </w:r>
          </w:p>
        </w:tc>
        <w:tc>
          <w:tcPr>
            <w:tcW w:w="1981"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w:t>
            </w:r>
            <w:r>
              <w:rPr>
                <w:rFonts w:ascii="方正仿宋简体" w:eastAsia="方正仿宋简体" w:hint="eastAsia"/>
                <w:sz w:val="24"/>
                <w:szCs w:val="24"/>
                <w:shd w:val="clear" w:color="auto" w:fill="FFFFFF"/>
              </w:rPr>
              <w:t>期末产品最后一个市场交易日份额累计净值</w:t>
            </w:r>
          </w:p>
        </w:tc>
        <w:tc>
          <w:tcPr>
            <w:tcW w:w="1394" w:type="dxa"/>
            <w:vAlign w:val="center"/>
          </w:tcPr>
          <w:p w:rsidR="00EB0DA3" w:rsidRDefault="00A65C20" w:rsidP="00823B7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w:t>
            </w:r>
            <w:r>
              <w:rPr>
                <w:rFonts w:ascii="方正仿宋简体" w:eastAsia="方正仿宋简体" w:hint="eastAsia"/>
                <w:sz w:val="24"/>
                <w:szCs w:val="24"/>
                <w:shd w:val="clear" w:color="auto" w:fill="FFFFFF"/>
              </w:rPr>
              <w:t>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Y30237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601,544,180.97</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1.0188</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6,400.00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Y31237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337,191,129.23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1.0196</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Y32237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143,075,980.79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Y35237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58,818,567.30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Y36237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20,564,287.60</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YB30237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22,216,404.99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1.0207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3  </w:t>
      </w:r>
      <w:r>
        <w:rPr>
          <w:rFonts w:ascii="方正仿宋简体" w:eastAsia="方正仿宋简体" w:hAnsi="Calibri" w:hint="eastAsia"/>
          <w:b/>
          <w:sz w:val="24"/>
          <w:szCs w:val="24"/>
        </w:rPr>
        <w:t>管理人报告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2026年二季度债市整体呈震荡走强格局，长短端收益率同步下行，信用利差普遍收窄。经济基本面呈现"K型分化"特征，生产强、需求弱并存，二季度GDP增速回落至4.5%附近，内需修复仍偏温和，基本面为债市提供核心支撑。货币政策维持适度宽松基调，4-5月资金极度宽松推动短端收益率大幅下行，6月资金面回归均衡宽松、隔夜利率一度上行至政策利率附近，但陆家嘴论坛释放利率走廊收窄信号重新提振市场信心。机构配置方面，高息存款到期高峰推动"资产荒"成为市场主线，近三分之二信用债收益率已降至1.8%以内。市场表现上，1年期国债收益率下行12BP至1.10%附近，10年期国债下行9BP、季末在1.70%-1.75%区间震荡，30年期国债下行13BP，信用利差压缩至历史低位。</w:t>
        <w:br w:type="textWrapping" w:clear="all"/>
      </w:r>
      <w:r>
        <w:rPr>
          <w:rFonts w:ascii="方正仿宋简体" w:eastAsia="方正仿宋简体" w:hint="eastAsia"/>
          <w:sz w:val="24"/>
          <w:szCs w:val="24"/>
        </w:rPr>
        <w:t>  展望三季度，债市大概率维持震荡偏强格局，利率中枢有望小幅下移但空间有限。基本面方面，经济K型分化延续，传统经济融资需求走弱加剧资产缺口，货币政策宽松取向不变，央行接受利率有克制地平稳下行.计10年期国债运行区间在1.60%-1.80%,策略上保持多头思维，短端品种确定性较强仍相对占优，组合久期阶段性保持中性偏高以捕捉利率下行机会，在震荡调整中把握逢高配置窗口。</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EB0DA3" w:rsidRDefault="00A65C20" w:rsidP="00823B7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Y30237份额净值为1.0188元，Y31237份额净值为1.0196元，Y32237份额净值为1.0204元，Y35237份额净值为1.0191元，Y36237份额净值为1.0195元，YB30237份额净值为1.0207</w:t>
      </w:r>
      <w:r>
        <w:rPr>
          <w:rFonts w:ascii="方正仿宋简体" w:eastAsia="方正仿宋简体" w:hint="eastAsia"/>
          <w:sz w:val="24"/>
          <w:szCs w:val="24"/>
        </w:rPr>
        <w:t>元。</w:t>
      </w: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4  </w:t>
      </w:r>
      <w:r>
        <w:rPr>
          <w:rFonts w:ascii="方正仿宋简体" w:eastAsia="方正仿宋简体" w:hAnsi="Calibri" w:hint="eastAsia"/>
          <w:b/>
          <w:sz w:val="24"/>
          <w:szCs w:val="24"/>
        </w:rPr>
        <w:t>托管人报告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w:t>
      </w:r>
      <w:r>
        <w:rPr>
          <w:rFonts w:ascii="方正仿宋简体" w:eastAsia="方正仿宋简体" w:hint="eastAsia"/>
          <w:b/>
          <w:sz w:val="24"/>
          <w:szCs w:val="24"/>
        </w:rPr>
        <w:t>报告期内托管人遵规守信情况声明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托管人对报告期内投资运作遵规守信、净值计算、利润分配等情况的说明</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4.3 </w:t>
      </w:r>
      <w:r>
        <w:rPr>
          <w:rFonts w:ascii="方正仿宋简体" w:eastAsia="方正仿宋简体" w:hint="eastAsia"/>
          <w:b/>
          <w:sz w:val="24"/>
          <w:szCs w:val="24"/>
        </w:rPr>
        <w:t>托管人对本报告期内报告中财务信息等内容的真实、准确和完整发表意见</w:t>
      </w:r>
    </w:p>
    <w:p w:rsidR="00EB0DA3" w:rsidRDefault="00A65C20" w:rsidP="00823B7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w:t>
      </w:r>
      <w:r>
        <w:rPr>
          <w:rFonts w:ascii="方正仿宋简体" w:eastAsia="方正仿宋简体" w:hAnsi="Calibri" w:hint="eastAsia"/>
          <w:b/>
          <w:sz w:val="24"/>
          <w:szCs w:val="24"/>
        </w:rPr>
        <w:t xml:space="preserve">5  </w:t>
      </w:r>
      <w:r>
        <w:rPr>
          <w:rFonts w:ascii="方正仿宋简体" w:eastAsia="方正仿宋简体" w:hAnsi="Calibri" w:hint="eastAsia"/>
          <w:b/>
          <w:sz w:val="24"/>
          <w:szCs w:val="24"/>
        </w:rPr>
        <w:t>投资组合报告</w:t>
      </w:r>
    </w:p>
    <w:p w:rsidR="00EB0DA3" w:rsidRDefault="00A65C20" w:rsidP="00823B7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 xml:space="preserve">5.1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97.22</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86.59</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13.41</w:t>
            </w:r>
            <w:r>
              <w:rPr>
                <w:rFonts w:ascii="方正仿宋简体" w:eastAsia="方正仿宋简体" w:hAnsiTheme="minorEastAsia"/>
                <w:sz w:val="24"/>
                <w:szCs w:val="24"/>
              </w:rPr>
              <w:t>%</w:t>
            </w:r>
          </w:p>
        </w:tc>
      </w:tr>
      <w:tr w:rsidR="00EB0DA3">
        <w:trPr>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2.78</w:t>
            </w:r>
            <w:r>
              <w:rPr>
                <w:rFonts w:ascii="方正仿宋简体" w:eastAsia="方正仿宋简体" w:hAnsiTheme="minorEastAsia"/>
                <w:sz w:val="24"/>
                <w:szCs w:val="24"/>
              </w:rPr>
              <w:t>%</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EB0DA3">
        <w:trPr>
          <w:trHeight w:val="584"/>
          <w:jc w:val="center"/>
        </w:trPr>
        <w:tc>
          <w:tcPr>
            <w:tcW w:w="745" w:type="dxa"/>
            <w:vAlign w:val="bottom"/>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EB0DA3" w:rsidRDefault="00EB0DA3" w:rsidP="00823B75">
      <w:pPr>
        <w:spacing w:before="240" w:afterLines="30" w:line="360" w:lineRule="auto"/>
        <w:rPr>
          <w:rFonts w:ascii="方正仿宋简体" w:eastAsia="方正仿宋简体"/>
          <w:b/>
          <w:sz w:val="24"/>
          <w:szCs w:val="24"/>
        </w:rPr>
      </w:pPr>
    </w:p>
    <w:p w:rsidR="00EB0DA3" w:rsidRDefault="00A65C20" w:rsidP="00823B75">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 xml:space="preserve">5.2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EB0DA3">
        <w:trPr>
          <w:trHeight w:val="1322"/>
          <w:jc w:val="center"/>
        </w:trPr>
        <w:tc>
          <w:tcPr>
            <w:tcW w:w="704"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EB0DA3" w:rsidRDefault="00A65C20" w:rsidP="00823B75">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349,757,968.69</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29.56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243,239,179.14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20.55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224,381,616.11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18.96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ZZGJT202005290001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鑫元基金-鑫安利得51号集合资产管理计划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214,763,668.43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国投泰康信托福佳7号集合资金信托计划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117,948,973.23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9.97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HHQTT202601270003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国投泰康信托福佳严选1号集合资金信托计划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32,926,128.52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2.78</w:t>
            </w:r>
          </w:p>
        </w:tc>
      </w:tr>
    </w:tbl>
    <w:p w:rsidR="00EB0DA3" w:rsidRDefault="00EB0DA3" w:rsidP="00823B75">
      <w:pPr>
        <w:spacing w:before="240" w:afterLines="30" w:line="360" w:lineRule="auto"/>
        <w:rPr>
          <w:rFonts w:ascii="方正仿宋简体" w:eastAsia="方正仿宋简体" w:hAnsi="宋体" w:cs="宋体"/>
          <w:sz w:val="24"/>
          <w:szCs w:val="24"/>
          <w:shd w:val="clear" w:color="auto" w:fill="FFFFFF"/>
        </w:rPr>
      </w:pPr>
    </w:p>
    <w:p w:rsidR="00EB0DA3" w:rsidRDefault="00A65C20" w:rsidP="00823B7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w:t>
      </w:r>
      <w:r>
        <w:rPr>
          <w:rFonts w:ascii="方正仿宋简体" w:eastAsia="方正仿宋简体" w:hAnsi="宋体" w:cs="宋体" w:hint="eastAsia"/>
          <w:b/>
          <w:sz w:val="24"/>
          <w:szCs w:val="24"/>
          <w:shd w:val="clear" w:color="auto" w:fill="FFFFFF"/>
        </w:rPr>
        <w:t>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EB0DA3">
        <w:trPr>
          <w:jc w:val="center"/>
        </w:trPr>
        <w:tc>
          <w:tcPr>
            <w:tcW w:w="70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6</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EB0DA3">
        <w:trPr>
          <w:trHeight w:val="705"/>
          <w:jc w:val="center"/>
        </w:trPr>
        <w:tc>
          <w:tcPr>
            <w:tcW w:w="968"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EB0DA3" w:rsidRDefault="00A65C20" w:rsidP="00823B7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0101010000001710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南银理财珠联璧合鑫逸稳一年237期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EB0DA3" w:rsidRDefault="00EB0DA3" w:rsidP="00823B75">
      <w:pPr>
        <w:spacing w:before="240" w:afterLines="30" w:line="360" w:lineRule="auto"/>
        <w:rPr>
          <w:rFonts w:ascii="方正仿宋简体" w:eastAsia="方正仿宋简体"/>
          <w:sz w:val="24"/>
          <w:szCs w:val="24"/>
        </w:rPr>
      </w:pPr>
    </w:p>
    <w:p w:rsidR="00EB0DA3" w:rsidRDefault="00A65C20" w:rsidP="00823B7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7</w:t>
      </w:r>
      <w:r>
        <w:rPr>
          <w:rFonts w:ascii="方正仿宋简体" w:eastAsia="方正仿宋简体" w:hint="eastAsia"/>
          <w:b/>
          <w:sz w:val="24"/>
          <w:szCs w:val="24"/>
        </w:rPr>
        <w:t xml:space="preserve"> </w:t>
      </w:r>
      <w:r>
        <w:rPr>
          <w:rFonts w:ascii="方正仿宋简体" w:eastAsia="方正仿宋简体" w:hint="eastAsia"/>
          <w:b/>
          <w:sz w:val="24"/>
          <w:szCs w:val="24"/>
        </w:rPr>
        <w:t>关联交易情况</w:t>
      </w:r>
    </w:p>
    <w:p w:rsidR="00EB0DA3" w:rsidRDefault="00823B75">
      <w:pPr>
        <w:spacing w:before="240" w:after="72" w:line="360" w:lineRule="auto"/>
        <w:rPr>
          <w:rFonts w:ascii="方正仿宋简体" w:eastAsia="方正仿宋简体"/>
          <w:b/>
          <w:sz w:val="24"/>
          <w:szCs w:val="24"/>
        </w:rPr>
      </w:pPr>
      <w:r>
        <w:rPr>
          <w:rFonts w:ascii="方正仿宋简体" w:eastAsia="方正仿宋简体" w:hint="eastAsia"/>
          <w:b/>
          <w:sz w:val="24"/>
          <w:szCs w:val="24"/>
        </w:rPr>
        <w:t>7.1</w:t>
      </w:r>
      <w:r w:rsidR="00A65C20">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352B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2</w:t>
      </w:r>
      <w:r w:rsidR="00A65C20">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EB0DA3" w:rsidRDefault="00087C24">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3</w:t>
      </w:r>
      <w:r w:rsidR="00A65C20">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EB0DA3">
        <w:trPr>
          <w:trHeight w:val="534"/>
          <w:jc w:val="center"/>
        </w:trPr>
        <w:tc>
          <w:tcPr>
            <w:tcW w:w="877"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EB0DA3">
        <w:trPr>
          <w:trHeight w:val="534"/>
          <w:jc w:val="center"/>
        </w:trPr>
        <w:tc>
          <w:tcPr>
            <w:tcW w:w="877" w:type="dxa"/>
            <w:vMerge/>
            <w:vAlign w:val="center"/>
          </w:tcPr>
          <w:p w:rsidR="00EB0DA3" w:rsidRDefault="00EB0DA3" w:rsidP="00823B75">
            <w:pPr>
              <w:spacing w:beforeLines="20" w:afterLines="20"/>
              <w:jc w:val="center"/>
            </w:pPr>
          </w:p>
        </w:tc>
        <w:tc>
          <w:tcPr>
            <w:tcW w:w="1704" w:type="dxa"/>
            <w:vMerge/>
            <w:vAlign w:val="center"/>
          </w:tcPr>
          <w:p w:rsidR="00EB0DA3" w:rsidRDefault="00EB0DA3" w:rsidP="00823B75">
            <w:pPr>
              <w:spacing w:beforeLines="20" w:afterLines="20"/>
              <w:jc w:val="center"/>
            </w:pPr>
          </w:p>
        </w:tc>
        <w:tc>
          <w:tcPr>
            <w:tcW w:w="1275" w:type="dxa"/>
            <w:vMerge/>
            <w:vAlign w:val="center"/>
          </w:tcPr>
          <w:p w:rsidR="00EB0DA3" w:rsidRDefault="00EB0DA3" w:rsidP="00823B75">
            <w:pPr>
              <w:spacing w:beforeLines="20" w:afterLines="20"/>
              <w:jc w:val="center"/>
            </w:pPr>
          </w:p>
        </w:tc>
        <w:tc>
          <w:tcPr>
            <w:tcW w:w="1540" w:type="dxa"/>
            <w:vMerge/>
            <w:vAlign w:val="center"/>
          </w:tcPr>
          <w:p w:rsidR="00EB0DA3" w:rsidRDefault="00EB0DA3" w:rsidP="00823B75">
            <w:pPr>
              <w:spacing w:beforeLines="20" w:afterLines="20"/>
              <w:jc w:val="center"/>
            </w:pP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55190815.99</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59000000.00</w:t>
            </w:r>
          </w:p>
        </w:tc>
      </w:tr>
    </w:tbl>
    <w:p w:rsidR="00EB0DA3" w:rsidRDefault="00150B02">
      <w:pPr>
        <w:spacing w:before="240" w:after="72" w:line="360" w:lineRule="auto"/>
        <w:rPr>
          <w:rFonts w:ascii="方正仿宋简体" w:eastAsia="方正仿宋简体"/>
          <w:b/>
          <w:sz w:val="24"/>
          <w:szCs w:val="24"/>
        </w:rPr>
      </w:pPr>
      <w:r>
        <w:rPr>
          <w:rFonts w:ascii="方正仿宋简体" w:eastAsia="方正仿宋简体" w:hint="eastAsia"/>
          <w:b/>
          <w:sz w:val="24"/>
          <w:szCs w:val="24"/>
        </w:rPr>
        <w:t>7.</w:t>
      </w:r>
      <w:r w:rsidR="00A65C20">
        <w:rPr>
          <w:rFonts w:ascii="方正仿宋简体" w:eastAsia="方正仿宋简体" w:hint="eastAsia"/>
          <w:b/>
          <w:sz w:val="24"/>
          <w:szCs w:val="24"/>
        </w:rPr>
        <w:t>4</w:t>
      </w:r>
      <w:r w:rsidR="00A65C20">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EB0DA3">
        <w:trPr>
          <w:trHeight w:val="1048"/>
          <w:jc w:val="center"/>
        </w:trPr>
        <w:tc>
          <w:tcPr>
            <w:tcW w:w="87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EB0DA3" w:rsidRDefault="00A65C20" w:rsidP="00823B75">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300095.59</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丹阳农商行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9195.43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日照银行</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34458.71</w:t>
            </w:r>
          </w:p>
        </w:tc>
      </w:tr>
    </w:tbl>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EB0DA3" w:rsidP="00823B75">
      <w:pPr>
        <w:spacing w:before="240" w:afterLines="30" w:line="360" w:lineRule="auto"/>
        <w:rPr>
          <w:rFonts w:ascii="方正仿宋简体" w:eastAsia="方正仿宋简体" w:hAnsi="宋体" w:cs="宋体"/>
          <w:kern w:val="0"/>
          <w:sz w:val="24"/>
          <w:szCs w:val="24"/>
        </w:rPr>
      </w:pPr>
    </w:p>
    <w:p w:rsidR="00EB0DA3" w:rsidRDefault="00A65C20" w:rsidP="00823B7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EB0DA3" w:rsidRDefault="00A65C20" w:rsidP="00EB0DA3">
      <w:pPr>
        <w:wordWrap w:val="0"/>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2026年06月30日</w:t>
      </w:r>
    </w:p>
    <w:sectPr w:rsidR="00EB0DA3" w:rsidSect="00EB0DA3">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5C20" w:rsidRDefault="00A65C20" w:rsidP="00EB0DA3">
      <w:r>
        <w:separator/>
      </w:r>
    </w:p>
  </w:endnote>
  <w:endnote w:type="continuationSeparator" w:id="1">
    <w:p w:rsidR="00A65C20" w:rsidRDefault="00A65C20" w:rsidP="00EB0DA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framePr w:wrap="around" w:vAnchor="text" w:hAnchor="margin" w:xAlign="center" w:y="1"/>
      <w:rPr>
        <w:rStyle w:val="aa"/>
      </w:rPr>
    </w:pPr>
    <w:r>
      <w:fldChar w:fldCharType="begin"/>
    </w:r>
    <w:r w:rsidR="00A65C20">
      <w:rPr>
        <w:rStyle w:val="aa"/>
      </w:rPr>
      <w:instrText xml:space="preserve">PAGE  </w:instrText>
    </w:r>
    <w:r>
      <w:fldChar w:fldCharType="end"/>
    </w:r>
  </w:p>
  <w:p w:rsidR="00EB0DA3" w:rsidRDefault="00EB0DA3">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5C20" w:rsidRDefault="00A65C20" w:rsidP="00EB0DA3">
      <w:r>
        <w:separator/>
      </w:r>
    </w:p>
  </w:footnote>
  <w:footnote w:type="continuationSeparator" w:id="1">
    <w:p w:rsidR="00A65C20" w:rsidRDefault="00A65C20" w:rsidP="00EB0DA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0DA3" w:rsidRDefault="00EB0DA3">
    <w:pPr>
      <w:pStyle w:val="a6"/>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3074"/>
  </w:hdrShapeDefaults>
  <w:footnotePr>
    <w:footnote w:id="0"/>
    <w:footnote w:id="1"/>
  </w:footnotePr>
  <w:endnotePr>
    <w:endnote w:id="0"/>
    <w:endnote w:id="1"/>
  </w:endnotePr>
  <w:compat>
    <w:doNotExpandShiftReturn/>
    <w:useFELayout/>
  </w:compat>
  <w:rsids>
    <w:rsidRoot w:val="00172A27"/>
    <w:rsid w:val="00000A95"/>
    <w:rsid w:val="000060E5"/>
    <w:rsid w:val="00015019"/>
    <w:rsid w:val="00020378"/>
    <w:rsid w:val="000234FF"/>
    <w:rsid w:val="00026D52"/>
    <w:rsid w:val="000318AA"/>
    <w:rsid w:val="00034FF6"/>
    <w:rsid w:val="00044BFF"/>
    <w:rsid w:val="000470C2"/>
    <w:rsid w:val="0005474A"/>
    <w:rsid w:val="00061725"/>
    <w:rsid w:val="000633AA"/>
    <w:rsid w:val="00066A9A"/>
    <w:rsid w:val="000737ED"/>
    <w:rsid w:val="00087C24"/>
    <w:rsid w:val="00095B95"/>
    <w:rsid w:val="000A3711"/>
    <w:rsid w:val="000D5066"/>
    <w:rsid w:val="000E6ACE"/>
    <w:rsid w:val="000F06ED"/>
    <w:rsid w:val="000F27F1"/>
    <w:rsid w:val="000F6191"/>
    <w:rsid w:val="00113F5F"/>
    <w:rsid w:val="001279EA"/>
    <w:rsid w:val="00130CE8"/>
    <w:rsid w:val="0013364F"/>
    <w:rsid w:val="00140660"/>
    <w:rsid w:val="0014449D"/>
    <w:rsid w:val="00150B02"/>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2B79"/>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3B75"/>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5C20"/>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A3"/>
    <w:rsid w:val="00EB0DB4"/>
    <w:rsid w:val="00EB44BE"/>
    <w:rsid w:val="00EC5C4D"/>
    <w:rsid w:val="00ED1047"/>
    <w:rsid w:val="00ED5226"/>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2C5D4363"/>
    <w:rsid w:val="2FFC4204"/>
    <w:rsid w:val="32955A2A"/>
    <w:rsid w:val="329707DE"/>
    <w:rsid w:val="32AE1BB2"/>
    <w:rsid w:val="36341C31"/>
    <w:rsid w:val="368076E6"/>
    <w:rsid w:val="369A0F5F"/>
    <w:rsid w:val="378F5AE0"/>
    <w:rsid w:val="37F709A6"/>
    <w:rsid w:val="39E872E9"/>
    <w:rsid w:val="3ABE1FB8"/>
    <w:rsid w:val="3B4429A4"/>
    <w:rsid w:val="3C753CC7"/>
    <w:rsid w:val="3F2C3B54"/>
    <w:rsid w:val="40990310"/>
    <w:rsid w:val="459870AF"/>
    <w:rsid w:val="45ED49CE"/>
    <w:rsid w:val="46F0109E"/>
    <w:rsid w:val="47475A63"/>
    <w:rsid w:val="4D8028F7"/>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0DA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EB0DA3"/>
    <w:pPr>
      <w:jc w:val="left"/>
    </w:pPr>
  </w:style>
  <w:style w:type="paragraph" w:styleId="a4">
    <w:name w:val="Balloon Text"/>
    <w:basedOn w:val="a"/>
    <w:link w:val="Char0"/>
    <w:uiPriority w:val="99"/>
    <w:unhideWhenUsed/>
    <w:qFormat/>
    <w:rsid w:val="00EB0DA3"/>
    <w:rPr>
      <w:sz w:val="18"/>
      <w:szCs w:val="18"/>
    </w:rPr>
  </w:style>
  <w:style w:type="paragraph" w:styleId="a5">
    <w:name w:val="footer"/>
    <w:basedOn w:val="a"/>
    <w:link w:val="Char1"/>
    <w:uiPriority w:val="99"/>
    <w:unhideWhenUsed/>
    <w:qFormat/>
    <w:rsid w:val="00EB0DA3"/>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EB0DA3"/>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EB0DA3"/>
    <w:pPr>
      <w:snapToGrid w:val="0"/>
      <w:jc w:val="left"/>
    </w:pPr>
    <w:rPr>
      <w:sz w:val="18"/>
    </w:rPr>
  </w:style>
  <w:style w:type="paragraph" w:styleId="a8">
    <w:name w:val="Normal (Web)"/>
    <w:basedOn w:val="a"/>
    <w:qFormat/>
    <w:rsid w:val="00EB0DA3"/>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EB0DA3"/>
    <w:rPr>
      <w:b/>
      <w:bCs/>
    </w:rPr>
  </w:style>
  <w:style w:type="character" w:styleId="aa">
    <w:name w:val="page number"/>
    <w:basedOn w:val="a0"/>
    <w:uiPriority w:val="99"/>
    <w:unhideWhenUsed/>
    <w:qFormat/>
    <w:rsid w:val="00EB0DA3"/>
  </w:style>
  <w:style w:type="character" w:styleId="ab">
    <w:name w:val="annotation reference"/>
    <w:uiPriority w:val="99"/>
    <w:unhideWhenUsed/>
    <w:qFormat/>
    <w:rsid w:val="00EB0DA3"/>
    <w:rPr>
      <w:sz w:val="21"/>
      <w:szCs w:val="21"/>
    </w:rPr>
  </w:style>
  <w:style w:type="character" w:styleId="ac">
    <w:name w:val="footnote reference"/>
    <w:uiPriority w:val="99"/>
    <w:unhideWhenUsed/>
    <w:qFormat/>
    <w:rsid w:val="00EB0DA3"/>
    <w:rPr>
      <w:vertAlign w:val="superscript"/>
    </w:rPr>
  </w:style>
  <w:style w:type="character" w:customStyle="1" w:styleId="Char0">
    <w:name w:val="批注框文本 Char"/>
    <w:link w:val="a4"/>
    <w:uiPriority w:val="99"/>
    <w:semiHidden/>
    <w:qFormat/>
    <w:rsid w:val="00EB0DA3"/>
    <w:rPr>
      <w:kern w:val="2"/>
      <w:sz w:val="18"/>
      <w:szCs w:val="18"/>
    </w:rPr>
  </w:style>
  <w:style w:type="character" w:customStyle="1" w:styleId="Char2">
    <w:name w:val="页眉 Char"/>
    <w:link w:val="a6"/>
    <w:uiPriority w:val="99"/>
    <w:semiHidden/>
    <w:qFormat/>
    <w:locked/>
    <w:rsid w:val="00EB0DA3"/>
    <w:rPr>
      <w:rFonts w:ascii="Times New Roman" w:hAnsi="Times New Roman" w:cs="Times New Roman" w:hint="default"/>
      <w:sz w:val="18"/>
      <w:szCs w:val="18"/>
    </w:rPr>
  </w:style>
  <w:style w:type="character" w:customStyle="1" w:styleId="Char3">
    <w:name w:val="批注主题 Char"/>
    <w:link w:val="a9"/>
    <w:uiPriority w:val="99"/>
    <w:semiHidden/>
    <w:qFormat/>
    <w:rsid w:val="00EB0DA3"/>
    <w:rPr>
      <w:b/>
      <w:bCs/>
      <w:kern w:val="2"/>
      <w:sz w:val="21"/>
      <w:szCs w:val="22"/>
    </w:rPr>
  </w:style>
  <w:style w:type="character" w:customStyle="1" w:styleId="Char1">
    <w:name w:val="页脚 Char"/>
    <w:link w:val="a5"/>
    <w:uiPriority w:val="99"/>
    <w:semiHidden/>
    <w:qFormat/>
    <w:locked/>
    <w:rsid w:val="00EB0DA3"/>
    <w:rPr>
      <w:rFonts w:ascii="Times New Roman" w:hAnsi="Times New Roman" w:cs="Times New Roman" w:hint="default"/>
      <w:sz w:val="18"/>
      <w:szCs w:val="18"/>
    </w:rPr>
  </w:style>
  <w:style w:type="character" w:customStyle="1" w:styleId="Char">
    <w:name w:val="批注文字 Char"/>
    <w:link w:val="a3"/>
    <w:uiPriority w:val="99"/>
    <w:qFormat/>
    <w:rsid w:val="00EB0DA3"/>
    <w:rPr>
      <w:kern w:val="2"/>
      <w:sz w:val="21"/>
      <w:szCs w:val="22"/>
    </w:rPr>
  </w:style>
  <w:style w:type="paragraph" w:customStyle="1" w:styleId="zhongyaotishi">
    <w:name w:val="zhongyaotishi"/>
    <w:basedOn w:val="a"/>
    <w:qFormat/>
    <w:rsid w:val="00EB0DA3"/>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EB0DA3"/>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EB0DA3"/>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EB0DA3"/>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EB0DA3"/>
    <w:pPr>
      <w:widowControl w:val="0"/>
      <w:jc w:val="center"/>
    </w:pPr>
    <w:rPr>
      <w:kern w:val="2"/>
      <w:sz w:val="33"/>
      <w:szCs w:val="22"/>
    </w:rPr>
  </w:style>
  <w:style w:type="paragraph" w:customStyle="1" w:styleId="biaogeleft">
    <w:name w:val="biaoge_left"/>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EB0DA3"/>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EB0DA3"/>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EB0DA3"/>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EB0DA3"/>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EB0DA3"/>
    <w:pPr>
      <w:widowControl w:val="0"/>
    </w:pPr>
    <w:rPr>
      <w:kern w:val="2"/>
      <w:sz w:val="21"/>
      <w:szCs w:val="22"/>
    </w:rPr>
  </w:style>
  <w:style w:type="paragraph" w:customStyle="1" w:styleId="neirong">
    <w:name w:val="neirong"/>
    <w:basedOn w:val="a"/>
    <w:qFormat/>
    <w:rsid w:val="00EB0DA3"/>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EB0DA3"/>
    <w:pPr>
      <w:jc w:val="both"/>
    </w:pPr>
    <w:rPr>
      <w:kern w:val="2"/>
      <w:sz w:val="21"/>
      <w:szCs w:val="21"/>
    </w:rPr>
  </w:style>
  <w:style w:type="paragraph" w:customStyle="1" w:styleId="Default">
    <w:name w:val="Default"/>
    <w:qFormat/>
    <w:rsid w:val="00EB0DA3"/>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421</Words>
  <Characters>2404</Characters>
  <Application>Microsoft Office Word</Application>
  <DocSecurity>0</DocSecurity>
  <Lines>20</Lines>
  <Paragraphs>5</Paragraphs>
  <ScaleCrop>false</ScaleCrop>
  <Company>微软中国</Company>
  <LinksUpToDate>false</LinksUpToDate>
  <CharactersWithSpaces>2820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2026-03-27T09:06:00Z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AA6D690BD87C4F7C84DD3EB28F7DAAAC</vt:lpwstr>
  </property>
</Properties>
</file>