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南银理财鼎瑞悦稳（最低持有60天）7号公募人民币理财产品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南银理财鼎瑞悦稳（最低持有60天）7号公募人民币理财产品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Z7003226000019</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2026年01月20日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2,623,410,646.63</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100.00%</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2026年01月20日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A32200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2,362,011,208.78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1.016140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1.016140</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A32201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1,318,986.10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1.016191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A32202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301,796,500.57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1.016043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A32203</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198,293.79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1.016156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1.016156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NYYW000020</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200,377.60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1.016228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1.016228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NYYW000021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200,377.60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1.016228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1.016228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国内债券市场大概率延续低位震荡运行格局，收益率难现单边趋势性行情，核心源于多空因素深度交织、基本面与政策面持续博弈，利率上下空间均受到约束。策略上以中性久期策略为核心，将票息收益作为组合收益的主要来源，在震荡调整中把握逢高配置窗口，灵活把握长端利率波段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A32200份额净值为1.016140元，A32201份额净值为1.016191元，A32202份额净值为1.016043元，A32203份额净值为1.016156元，NYYW000020份额净值为1.016228元，NYYW000021份额净值为1.016228</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97.48</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2.52</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ZJQTT202512160001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中粮信托鼎兴10号集合资金信托计划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1,843,267,760.54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663,190,087.56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24.88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XJCKX202312190022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浦发银行南京分行活期存款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124,774,730.78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XJCKX202404150001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农业银行深圳分行活期存款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XJCKX202302280001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工商银行南分活期存款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906.05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0.00</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0101030000004166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南银理财鼎瑞悦稳最低持有60天7号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588.25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2452.89</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