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南银理财鼎瑞悦稳（最低持有7天）11号公募人民币理财产品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南银理财鼎瑞悦稳（最低持有7天）11号公募人民币理财产品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Z7003225000250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2025年07月24日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6,294,412,364.21</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112.40%</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长城财富保险资产管理股份有限公司,陆家嘴国际信托有限公司,太平洋资产管理有限责任公司,紫金信托有限责任公司,华泰资产管理有限公司,平安资产管理有限责任公司,兴业国际信托有限公司,中粮信托有限责任公司,中诚信托有限责任公司,大家资产管理有限责任公司,国投泰康信托有限公司,江苏省国际信托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A32098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5,778,192,016.98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1.032449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1.032449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20,222.19</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326,992,180.76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1.032447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323,455,516.86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1.031993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1.031993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A32127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22,234,594.12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1.032446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A32214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47,644,874.03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1.032424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A32098份额净值为1.032449元，A32112份额净值为1.032447元，A32113份额净值为1.031993元，A32127份额净值为1.032446元，A32214份额净值为1.032424</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97.85</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93.27</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2.15</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6.73</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1,087,411,014.51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763,753,433.35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751,120,812.18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ZJQTT202409090021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293,195,688.58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289,626,973.27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251,099,130.52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092200008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22农行二级资本债02A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213,835,440.00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312410003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24建行TLAC非资本债01A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201,058,600.00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DQCKX202601160002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徽商银行定期存款20260116A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112515285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25民生银行CD285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196,834,400.00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0101030000001648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南银理财鼎瑞悦稳最低持有7天11号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25徐工集团SCP012(科创债)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012582952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60121561.64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26连云工投SCP002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012680308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20000975.34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26高邮交投MTN001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102680394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30005276.71</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5266298706.51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5361000000.00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200090000.00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4073747.20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841686.76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