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A65C20" w:rsidP="00823B75">
      <w:pPr>
        <w:spacing w:before="240" w:afterLines="30" w:line="360" w:lineRule="auto"/>
        <w:jc w:val="center"/>
        <w:rPr>
          <w:rFonts w:ascii="方正黑体简体" w:eastAsia="方正黑体简体"/>
          <w:sz w:val="36"/>
        </w:rPr>
      </w:pPr>
      <w:r>
        <w:rPr>
          <w:rFonts w:ascii="方正黑体简体" w:eastAsia="方正黑体简体"/>
          <w:sz w:val="36"/>
        </w:rPr>
        <w:t>南银理财珠联璧合悦稳（最低持有91天）公募人民币理财产品</w:t>
      </w:r>
    </w:p>
    <w:p w:rsidR="00EB0DA3" w:rsidRDefault="00A65C20" w:rsidP="00823B7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EB0DA3" w:rsidRDefault="00EB0DA3" w:rsidP="00823B75">
      <w:pPr>
        <w:spacing w:before="240" w:afterLines="30" w:line="360" w:lineRule="auto"/>
        <w:jc w:val="center"/>
        <w:rPr>
          <w:rFonts w:ascii="方正黑体简体" w:eastAsia="方正黑体简体"/>
          <w:sz w:val="36"/>
        </w:rPr>
      </w:pPr>
    </w:p>
    <w:p w:rsidR="00EB0DA3" w:rsidRDefault="00A65C20">
      <w:pPr>
        <w:widowControl/>
        <w:jc w:val="left"/>
        <w:rPr>
          <w:rFonts w:ascii="方正黑体简体" w:eastAsia="方正黑体简体"/>
          <w:sz w:val="36"/>
        </w:rPr>
      </w:pPr>
      <w:r>
        <w:rPr>
          <w:rFonts w:ascii="方正黑体简体" w:eastAsia="方正黑体简体"/>
          <w:sz w:val="36"/>
        </w:rPr>
        <w:br w:type="page"/>
      </w:r>
    </w:p>
    <w:p w:rsidR="00EB0DA3" w:rsidRDefault="00A65C20" w:rsidP="00823B75">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南银理财珠联璧合悦稳（最低持有91天）公募人民币理财产品</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Z7003222000021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2022年03月30日</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8,967,262,512.30</w:t>
            </w:r>
            <w:r>
              <w:rPr>
                <w:rFonts w:ascii="方正仿宋简体" w:eastAsia="方正仿宋简体" w:hint="eastAsia"/>
                <w:sz w:val="24"/>
                <w:szCs w:val="24"/>
              </w:rPr>
              <w:t>份</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sz w:val="24"/>
                <w:szCs w:val="24"/>
              </w:rPr>
              <w:t>100.15%</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平安资产管理有限责任公司,华鑫证券有限责任公司,太平洋资产管理有限责任公司,紫金信托有限责任公司,江苏省国际信托有限责任公司,长江养老保险股份有限公司,长城财富保险资产管理股份有限公司,中粮信托有限责任公司,国投泰康信托有限公司,陆家嘴国际信托有限公司,华泰资产管理有限公司,鑫元基金管理有限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EB0DA3" w:rsidRDefault="00EB0DA3" w:rsidP="00823B75">
      <w:pPr>
        <w:spacing w:before="240" w:afterLines="30" w:line="360" w:lineRule="auto"/>
        <w:rPr>
          <w:rFonts w:ascii="方正仿宋简体" w:eastAsia="方正仿宋简体" w:hAnsi="Calibri"/>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B0DA3" w:rsidRDefault="00A65C20" w:rsidP="00823B7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EB0DA3">
        <w:trPr>
          <w:trHeight w:val="744"/>
          <w:jc w:val="center"/>
        </w:trPr>
        <w:tc>
          <w:tcPr>
            <w:tcW w:w="1348" w:type="dxa"/>
            <w:vMerge w:val="restart"/>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2026年01月01日 - 2026年06月30日</w:t>
            </w:r>
            <w:r>
              <w:rPr>
                <w:rFonts w:ascii="方正仿宋简体" w:eastAsia="方正仿宋简体" w:hint="eastAsia"/>
                <w:sz w:val="24"/>
                <w:szCs w:val="24"/>
                <w:shd w:val="clear" w:color="auto" w:fill="FFFFFF"/>
              </w:rPr>
              <w:t>）</w:t>
            </w:r>
          </w:p>
        </w:tc>
      </w:tr>
      <w:tr w:rsidR="00EB0DA3">
        <w:trPr>
          <w:trHeight w:val="1563"/>
          <w:jc w:val="center"/>
        </w:trPr>
        <w:tc>
          <w:tcPr>
            <w:tcW w:w="1348" w:type="dxa"/>
            <w:vMerge/>
            <w:vAlign w:val="center"/>
          </w:tcPr>
          <w:p w:rsidR="00EB0DA3" w:rsidRDefault="00EB0DA3" w:rsidP="00823B75">
            <w:pPr>
              <w:spacing w:beforeLines="20" w:afterLines="20"/>
              <w:jc w:val="center"/>
              <w:rPr>
                <w:rFonts w:ascii="方正仿宋简体" w:eastAsia="方正仿宋简体"/>
                <w:sz w:val="24"/>
                <w:szCs w:val="24"/>
                <w:shd w:val="clear" w:color="auto" w:fill="FFFFFF"/>
              </w:rPr>
            </w:pPr>
          </w:p>
        </w:tc>
        <w:tc>
          <w:tcPr>
            <w:tcW w:w="229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888"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98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6,607,060,887.46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1.1116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1.1116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23,542.01</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627,197,440.15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1.1161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1.1161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42,739,897.21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1.1062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1.1062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1,593,834,305.57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1.1116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1.1116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A32115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616,269,088.89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1.1130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1.1130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A32130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6,582,125.13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1.1114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1.1114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NYYW000004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478,598,288.34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1.1128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1.1128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国内债券市场大概率延续低位震荡运行格局，收益率难现单边趋势性行情，核心源于多空因素深度交织、基本面与政策面持续博弈，利率上下空间均受到约束。策略上以中性久期策略为核心，将票息收益作为组合收益的主要来源，在震荡调整中把握逢高配置窗口，灵活把握长端利率波段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B0DA3" w:rsidRDefault="00A65C20" w:rsidP="00823B7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A32001份额净值为1.1116元，A32002份额净值为1.1161元，A32003份额净值为1.1062元，A32004份额净值为1.1116元，A32115份额净值为1.1130元，A32130份额净值为1.1114元，NYYW000004份额净值为1.1128</w:t>
      </w:r>
      <w:r>
        <w:rPr>
          <w:rFonts w:ascii="方正仿宋简体" w:eastAsia="方正仿宋简体" w:hint="eastAsia"/>
          <w:sz w:val="24"/>
          <w:szCs w:val="24"/>
        </w:rPr>
        <w:t>元。</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99.69</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94.33</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0.31</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5.67</w:t>
            </w:r>
            <w:r>
              <w:rPr>
                <w:rFonts w:ascii="方正仿宋简体" w:eastAsia="方正仿宋简体" w:hAnsiTheme="minorEastAsia"/>
                <w:sz w:val="24"/>
                <w:szCs w:val="24"/>
              </w:rPr>
              <w:t>%</w:t>
            </w:r>
          </w:p>
        </w:tc>
      </w:tr>
      <w:tr w:rsidR="00EB0DA3">
        <w:trPr>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EB0DA3" w:rsidRDefault="00EB0DA3" w:rsidP="00823B75">
      <w:pPr>
        <w:spacing w:before="240" w:afterLines="30" w:line="360" w:lineRule="auto"/>
        <w:rPr>
          <w:rFonts w:ascii="方正仿宋简体" w:eastAsia="方正仿宋简体"/>
          <w:b/>
          <w:sz w:val="24"/>
          <w:szCs w:val="24"/>
        </w:rPr>
      </w:pPr>
    </w:p>
    <w:p w:rsidR="00EB0DA3" w:rsidRDefault="00A65C20" w:rsidP="00823B75">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EB0DA3">
        <w:trPr>
          <w:trHeight w:val="1322"/>
          <w:jc w:val="center"/>
        </w:trPr>
        <w:tc>
          <w:tcPr>
            <w:tcW w:w="704"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1,246,690,339.51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990,025,616.54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889,997,916.24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ZJQTT202410090002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陆家嘴信托-陆享19号集合资金信托计划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825,185,857.18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ZJQTT202509250001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568,123,021.15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陆家嘴信托-陆享15号集合资金信托计划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562,466,506.59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ZJQTT202209050001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537,768,350.82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农业银行杭州分行活期存款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521,166,603.51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312510012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25中行TLAC非资本债02(BC)</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503,111,000.00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112602033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26工商银行CD033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494,413,000.00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4.96</w:t>
            </w:r>
          </w:p>
        </w:tc>
      </w:tr>
    </w:tbl>
    <w:p w:rsidR="00EB0DA3" w:rsidRDefault="00EB0DA3" w:rsidP="00823B75">
      <w:pPr>
        <w:spacing w:before="240" w:afterLines="30" w:line="360" w:lineRule="auto"/>
        <w:rPr>
          <w:rFonts w:ascii="方正仿宋简体" w:eastAsia="方正仿宋简体" w:hAnsi="宋体" w:cs="宋体"/>
          <w:sz w:val="24"/>
          <w:szCs w:val="24"/>
          <w:shd w:val="clear" w:color="auto" w:fill="FFFFFF"/>
        </w:rPr>
      </w:pPr>
    </w:p>
    <w:p w:rsidR="00EB0DA3" w:rsidRDefault="00A65C20" w:rsidP="00823B7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EB0DA3">
        <w:trPr>
          <w:jc w:val="center"/>
        </w:trPr>
        <w:tc>
          <w:tcPr>
            <w:tcW w:w="70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EB0DA3">
        <w:trPr>
          <w:trHeight w:val="705"/>
          <w:jc w:val="center"/>
        </w:trPr>
        <w:tc>
          <w:tcPr>
            <w:tcW w:w="968"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0120080000000782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南银理财悦稳最低持有91天</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EB0DA3" w:rsidRDefault="00823B75">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A65C20">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352B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2</w:t>
      </w:r>
      <w:r w:rsidR="00A65C20">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087C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3</w:t>
      </w:r>
      <w:r w:rsidR="00A65C20">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165219738.22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335672722.86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375000000.00</w:t>
            </w:r>
          </w:p>
        </w:tc>
      </w:tr>
    </w:tbl>
    <w:p w:rsidR="00EB0DA3" w:rsidRDefault="00150B0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4</w:t>
      </w:r>
      <w:r w:rsidR="00A65C20">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EB0DA3">
        <w:trPr>
          <w:trHeight w:val="1048"/>
          <w:jc w:val="center"/>
        </w:trPr>
        <w:tc>
          <w:tcPr>
            <w:tcW w:w="87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4788020.82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127239.04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158940.64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1354023.12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EB0DA3" w:rsidRDefault="00A65C20" w:rsidP="00EB0DA3">
      <w:pPr>
        <w:wordWrap w:val="0"/>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EB0DA3" w:rsidSect="00EB0DA3">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C20" w:rsidRDefault="00A65C20" w:rsidP="00EB0DA3">
      <w:r>
        <w:separator/>
      </w:r>
    </w:p>
  </w:endnote>
  <w:endnote w:type="continuationSeparator" w:id="1">
    <w:p w:rsidR="00A65C20" w:rsidRDefault="00A65C20" w:rsidP="00EB0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framePr w:wrap="around" w:vAnchor="text" w:hAnchor="margin" w:xAlign="center" w:y="1"/>
      <w:rPr>
        <w:rStyle w:val="aa"/>
      </w:rPr>
    </w:pPr>
    <w:r>
      <w:fldChar w:fldCharType="begin"/>
    </w:r>
    <w:r w:rsidR="00A65C20">
      <w:rPr>
        <w:rStyle w:val="aa"/>
      </w:rPr>
      <w:instrText xml:space="preserve">PAGE  </w:instrText>
    </w:r>
    <w:r>
      <w:fldChar w:fldCharType="end"/>
    </w:r>
  </w:p>
  <w:p w:rsidR="00EB0DA3" w:rsidRDefault="00EB0D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C20" w:rsidRDefault="00A65C20" w:rsidP="00EB0DA3">
      <w:r>
        <w:separator/>
      </w:r>
    </w:p>
  </w:footnote>
  <w:footnote w:type="continuationSeparator" w:id="1">
    <w:p w:rsidR="00A65C20" w:rsidRDefault="00A65C20" w:rsidP="00EB0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0378"/>
    <w:rsid w:val="000234FF"/>
    <w:rsid w:val="00026D52"/>
    <w:rsid w:val="000318AA"/>
    <w:rsid w:val="00034FF6"/>
    <w:rsid w:val="00044BFF"/>
    <w:rsid w:val="000470C2"/>
    <w:rsid w:val="0005474A"/>
    <w:rsid w:val="00061725"/>
    <w:rsid w:val="000633AA"/>
    <w:rsid w:val="00066A9A"/>
    <w:rsid w:val="000737ED"/>
    <w:rsid w:val="00087C24"/>
    <w:rsid w:val="00095B95"/>
    <w:rsid w:val="000A3711"/>
    <w:rsid w:val="000D5066"/>
    <w:rsid w:val="000E6ACE"/>
    <w:rsid w:val="000F06ED"/>
    <w:rsid w:val="000F27F1"/>
    <w:rsid w:val="000F6191"/>
    <w:rsid w:val="00113F5F"/>
    <w:rsid w:val="001279EA"/>
    <w:rsid w:val="00130CE8"/>
    <w:rsid w:val="0013364F"/>
    <w:rsid w:val="00140660"/>
    <w:rsid w:val="0014449D"/>
    <w:rsid w:val="00150B02"/>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2B79"/>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3B75"/>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5C20"/>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A3"/>
    <w:rsid w:val="00EB0DB4"/>
    <w:rsid w:val="00EB44BE"/>
    <w:rsid w:val="00EC5C4D"/>
    <w:rsid w:val="00ED1047"/>
    <w:rsid w:val="00ED5226"/>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2C5D4363"/>
    <w:rsid w:val="2FFC4204"/>
    <w:rsid w:val="32955A2A"/>
    <w:rsid w:val="329707DE"/>
    <w:rsid w:val="32AE1BB2"/>
    <w:rsid w:val="36341C31"/>
    <w:rsid w:val="368076E6"/>
    <w:rsid w:val="369A0F5F"/>
    <w:rsid w:val="378F5AE0"/>
    <w:rsid w:val="37F709A6"/>
    <w:rsid w:val="39E872E9"/>
    <w:rsid w:val="3ABE1FB8"/>
    <w:rsid w:val="3B4429A4"/>
    <w:rsid w:val="3C753CC7"/>
    <w:rsid w:val="3F2C3B54"/>
    <w:rsid w:val="40990310"/>
    <w:rsid w:val="459870AF"/>
    <w:rsid w:val="45ED49CE"/>
    <w:rsid w:val="46F0109E"/>
    <w:rsid w:val="47475A63"/>
    <w:rsid w:val="4D8028F7"/>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D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0DA3"/>
    <w:pPr>
      <w:jc w:val="left"/>
    </w:pPr>
  </w:style>
  <w:style w:type="paragraph" w:styleId="a4">
    <w:name w:val="Balloon Text"/>
    <w:basedOn w:val="a"/>
    <w:link w:val="Char0"/>
    <w:uiPriority w:val="99"/>
    <w:unhideWhenUsed/>
    <w:qFormat/>
    <w:rsid w:val="00EB0DA3"/>
    <w:rPr>
      <w:sz w:val="18"/>
      <w:szCs w:val="18"/>
    </w:rPr>
  </w:style>
  <w:style w:type="paragraph" w:styleId="a5">
    <w:name w:val="footer"/>
    <w:basedOn w:val="a"/>
    <w:link w:val="Char1"/>
    <w:uiPriority w:val="99"/>
    <w:unhideWhenUsed/>
    <w:qFormat/>
    <w:rsid w:val="00EB0DA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B0DA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B0DA3"/>
    <w:pPr>
      <w:snapToGrid w:val="0"/>
      <w:jc w:val="left"/>
    </w:pPr>
    <w:rPr>
      <w:sz w:val="18"/>
    </w:rPr>
  </w:style>
  <w:style w:type="paragraph" w:styleId="a8">
    <w:name w:val="Normal (Web)"/>
    <w:basedOn w:val="a"/>
    <w:qFormat/>
    <w:rsid w:val="00EB0DA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B0DA3"/>
    <w:rPr>
      <w:b/>
      <w:bCs/>
    </w:rPr>
  </w:style>
  <w:style w:type="character" w:styleId="aa">
    <w:name w:val="page number"/>
    <w:basedOn w:val="a0"/>
    <w:uiPriority w:val="99"/>
    <w:unhideWhenUsed/>
    <w:qFormat/>
    <w:rsid w:val="00EB0DA3"/>
  </w:style>
  <w:style w:type="character" w:styleId="ab">
    <w:name w:val="annotation reference"/>
    <w:uiPriority w:val="99"/>
    <w:unhideWhenUsed/>
    <w:qFormat/>
    <w:rsid w:val="00EB0DA3"/>
    <w:rPr>
      <w:sz w:val="21"/>
      <w:szCs w:val="21"/>
    </w:rPr>
  </w:style>
  <w:style w:type="character" w:styleId="ac">
    <w:name w:val="footnote reference"/>
    <w:uiPriority w:val="99"/>
    <w:unhideWhenUsed/>
    <w:qFormat/>
    <w:rsid w:val="00EB0DA3"/>
    <w:rPr>
      <w:vertAlign w:val="superscript"/>
    </w:rPr>
  </w:style>
  <w:style w:type="character" w:customStyle="1" w:styleId="Char0">
    <w:name w:val="批注框文本 Char"/>
    <w:link w:val="a4"/>
    <w:uiPriority w:val="99"/>
    <w:semiHidden/>
    <w:qFormat/>
    <w:rsid w:val="00EB0DA3"/>
    <w:rPr>
      <w:kern w:val="2"/>
      <w:sz w:val="18"/>
      <w:szCs w:val="18"/>
    </w:rPr>
  </w:style>
  <w:style w:type="character" w:customStyle="1" w:styleId="Char2">
    <w:name w:val="页眉 Char"/>
    <w:link w:val="a6"/>
    <w:uiPriority w:val="99"/>
    <w:semiHidden/>
    <w:qFormat/>
    <w:locked/>
    <w:rsid w:val="00EB0DA3"/>
    <w:rPr>
      <w:rFonts w:ascii="Times New Roman" w:hAnsi="Times New Roman" w:cs="Times New Roman" w:hint="default"/>
      <w:sz w:val="18"/>
      <w:szCs w:val="18"/>
    </w:rPr>
  </w:style>
  <w:style w:type="character" w:customStyle="1" w:styleId="Char3">
    <w:name w:val="批注主题 Char"/>
    <w:link w:val="a9"/>
    <w:uiPriority w:val="99"/>
    <w:semiHidden/>
    <w:qFormat/>
    <w:rsid w:val="00EB0DA3"/>
    <w:rPr>
      <w:b/>
      <w:bCs/>
      <w:kern w:val="2"/>
      <w:sz w:val="21"/>
      <w:szCs w:val="22"/>
    </w:rPr>
  </w:style>
  <w:style w:type="character" w:customStyle="1" w:styleId="Char1">
    <w:name w:val="页脚 Char"/>
    <w:link w:val="a5"/>
    <w:uiPriority w:val="99"/>
    <w:semiHidden/>
    <w:qFormat/>
    <w:locked/>
    <w:rsid w:val="00EB0DA3"/>
    <w:rPr>
      <w:rFonts w:ascii="Times New Roman" w:hAnsi="Times New Roman" w:cs="Times New Roman" w:hint="default"/>
      <w:sz w:val="18"/>
      <w:szCs w:val="18"/>
    </w:rPr>
  </w:style>
  <w:style w:type="character" w:customStyle="1" w:styleId="Char">
    <w:name w:val="批注文字 Char"/>
    <w:link w:val="a3"/>
    <w:uiPriority w:val="99"/>
    <w:qFormat/>
    <w:rsid w:val="00EB0DA3"/>
    <w:rPr>
      <w:kern w:val="2"/>
      <w:sz w:val="21"/>
      <w:szCs w:val="22"/>
    </w:rPr>
  </w:style>
  <w:style w:type="paragraph" w:customStyle="1" w:styleId="zhongyaotishi">
    <w:name w:val="zhongyaotishi"/>
    <w:basedOn w:val="a"/>
    <w:qFormat/>
    <w:rsid w:val="00EB0DA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B0DA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B0DA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B0DA3"/>
    <w:pPr>
      <w:widowControl w:val="0"/>
      <w:jc w:val="center"/>
    </w:pPr>
    <w:rPr>
      <w:kern w:val="2"/>
      <w:sz w:val="33"/>
      <w:szCs w:val="22"/>
    </w:rPr>
  </w:style>
  <w:style w:type="paragraph" w:customStyle="1" w:styleId="biaogeleft">
    <w:name w:val="biaoge_left"/>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B0DA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B0DA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B0DA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B0DA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B0DA3"/>
    <w:pPr>
      <w:widowControl w:val="0"/>
    </w:pPr>
    <w:rPr>
      <w:kern w:val="2"/>
      <w:sz w:val="21"/>
      <w:szCs w:val="22"/>
    </w:rPr>
  </w:style>
  <w:style w:type="paragraph" w:customStyle="1" w:styleId="neirong">
    <w:name w:val="neirong"/>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EB0DA3"/>
    <w:pPr>
      <w:jc w:val="both"/>
    </w:pPr>
    <w:rPr>
      <w:kern w:val="2"/>
      <w:sz w:val="21"/>
      <w:szCs w:val="21"/>
    </w:rPr>
  </w:style>
  <w:style w:type="paragraph" w:customStyle="1" w:styleId="Default">
    <w:name w:val="Default"/>
    <w:qFormat/>
    <w:rsid w:val="00EB0DA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421</Words>
  <Characters>2404</Characters>
  <Application>Microsoft Office Word</Application>
  <DocSecurity>0</DocSecurity>
  <Lines>20</Lines>
  <Paragraphs>5</Paragraphs>
  <ScaleCrop>false</ScaleCrop>
  <Company>微软中国</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2026-03-27T09:06:00Z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AA6D690BD87C4F7C84DD3EB28F7DAAAC</vt:lpwstr>
  </property>
</Properties>
</file>