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苏银理财启源现金5号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苏银理财启源现金5号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2023年04月27日</w:t>
      </w:r>
      <w:r>
        <w:rPr>
          <w:rFonts w:ascii="楷体" w:eastAsia="楷体" w:hAnsi="楷体" w:cs="楷体" w:hint="eastAsia"/>
        </w:rPr>
        <w:t xml:space="preserve">成立，于</w:t>
      </w:r>
      <w:r>
        <w:rPr>
          <w:rFonts w:ascii="楷体" w:eastAsia="楷体" w:hAnsi="楷体" w:cs="楷体" w:hint="eastAsia"/>
          <w:spacing w:val="-7"/>
        </w:rPr>
        <w:t xml:space="preserve">2023年04月27日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苏银理财启源现金5号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7,570,523,725.67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7,570,523,725.67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31000188000526885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7,571,414,133.86</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2025-12-31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0.4459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1.56%</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60.51%</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39.49%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60.51%</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39.49%</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685,307,699.37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9.02%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356,335,371.72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25光大银行CD076</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199,164,902.80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199,120,739.61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25建设银行CD337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197,960,308.46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25农业银行CD333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197,572,225.66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180,167,466.58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180,000,180.00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130,062,647.92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108,869,366.08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2,294.11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613,260,103.72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351,009.83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1,421.25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644.86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1,165,764.09</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68,429.37</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7,570,523,725.67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7,451,486,443.65</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四季度，面对复杂的国内外环境与三季度以来的增长压力，宏观政策导向自“反内卷”适时转向内需支撑，财政与货币政策协同发力，巩固了经济回升向好基础，确保全年经济社会发展目标顺利实现。经济运行稳中趋缓，债券市场则在政策调整与预期博弈中经历结构调整。</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四季度经济运行稳中趋缓，但仍展现出较强韧性。四季度内需仍然较弱，物价仍在低位运行，出口增速保持韧性，人民币汇率呈升值趋势，市场流动性保持宽松，但财政支出力度有所减弱，财政支出力度前高后低是导致四季度经济增速放缓的主因之一。整体来看，2025年四季度经济增速或继续放缓，全年经济增速前高后低，仍有望实现5%的增速。债券市场方面，四季度一致预期强化，债市弱势震荡。10月关税扰动再起，二十届四中全会和十五五规划出台，央行重启公开市场国债买卖，市场对货币宽松预期进一步升温，是10月债市下行的主要推动。11月，央行买债规模不及预期，叠加市场担忧公募基金销售新规落地，利率小幅上行。三季度货币政策执行报告重提跨周期调节，公募销售新规扰动不断，万科公告债务展期，债市情绪偏谨慎。进入12月，经济基本面持续承压，债市供求也进入季节性有利阶段，但利率延续上行。赎回扰动不断出现，市场对明年超长债供给有一定担忧，叠加银行相关指标承压，30-10年国债利差走扩，十年国债利率也一度触及1.85%高点。</w:t>
      </w:r>
      <w:r>
        <w:rPr>
          <w:rFonts w:ascii="楷体" w:eastAsia="楷体" w:hAnsi="楷体" w:cs="楷体" w:hint="eastAsia"/>
          <w:spacing w:val="8"/>
          <w:sz w:val="21"/>
        </w:rPr>
        <w:br/>
      </w:r>
      <w:r>
        <w:rPr>
          <w:rFonts w:ascii="楷体" w:eastAsia="楷体" w:hAnsi="楷体" w:cs="楷体" w:hint="eastAsia"/>
          <w:spacing w:val="8"/>
          <w:sz w:val="21"/>
        </w:rPr>
        <w:t xml:space="preserve">    报告期内，债券市场震荡走弱。管理人积极对照监管要求，严格管控现金管理类产品的信用风险、久期风险、集中度风险和流动性风险。在资产配置策略上选择以同业存单、利率债、回购和银行存款等低风险资产为主，增加了存款和回购投资比例。在收益率震荡上行的过程中，逢高配置了部分债券类资产，同时储备了一波利率相对较高的长期存款类资产。相关资产的配置主要抓住资金面波动时点进行，兼顾资产类别和期限的总体均衡，较好的把握了波段性机会。此外，本产品采用较多的杠杆策略、交易策略以及货基增强策略，成功获取一定的超额收益。</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2025年四季度，市场流动性整体宽松，本产品在投资高流动性的利率债和AAA存单以外，动态调整产品杠杆率，充分做好资金准备，平稳度过各关键时点，充分满足了产品的流动性需求，保障了投资者的赎回需求。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2026-01-21T08:45:05Z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