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华文中宋" w:hAnsi="华文中宋" w:eastAsia="华文中宋" w:cs="Tahoma"/>
          <w:b/>
          <w:color w:val="auto"/>
          <w:kern w:val="0"/>
          <w:sz w:val="52"/>
          <w:szCs w:val="52"/>
          <w:highlight w:val="none"/>
        </w:rPr>
      </w:pPr>
    </w:p>
    <w:p>
      <w:pPr>
        <w:spacing w:line="360" w:lineRule="auto"/>
        <w:jc w:val="center"/>
        <w:rPr>
          <w:rFonts w:hint="eastAsia" w:ascii="华文中宋" w:hAnsi="华文中宋" w:eastAsia="华文中宋" w:cs="Tahoma"/>
          <w:b/>
          <w:color w:val="auto"/>
          <w:kern w:val="0"/>
          <w:sz w:val="52"/>
          <w:szCs w:val="52"/>
          <w:highlight w:val="none"/>
        </w:rPr>
      </w:pPr>
    </w:p>
    <w:p>
      <w:pPr>
        <w:spacing w:line="360" w:lineRule="auto"/>
        <w:jc w:val="center"/>
        <w:rPr>
          <w:rFonts w:ascii="华文中宋" w:hAnsi="华文中宋" w:eastAsia="华文中宋" w:cs="Tahoma"/>
          <w:b/>
          <w:color w:val="auto"/>
          <w:kern w:val="0"/>
          <w:sz w:val="52"/>
          <w:szCs w:val="52"/>
          <w:highlight w:val="none"/>
        </w:rPr>
      </w:pPr>
      <w:r>
        <w:rPr>
          <w:rFonts w:hint="eastAsia" w:ascii="华文中宋" w:hAnsi="华文中宋" w:eastAsia="华文中宋" w:cs="Tahoma"/>
          <w:b/>
          <w:color w:val="auto"/>
          <w:kern w:val="0"/>
          <w:sz w:val="52"/>
          <w:szCs w:val="52"/>
          <w:highlight w:val="none"/>
        </w:rPr>
        <w:t>江苏东海农村商业银行股份有限公司</w:t>
      </w:r>
    </w:p>
    <w:p>
      <w:pPr>
        <w:spacing w:line="360" w:lineRule="auto"/>
        <w:jc w:val="center"/>
        <w:rPr>
          <w:rFonts w:ascii="华文中宋" w:hAnsi="华文中宋" w:eastAsia="华文中宋" w:cs="Tahoma"/>
          <w:b/>
          <w:color w:val="auto"/>
          <w:kern w:val="0"/>
          <w:sz w:val="52"/>
          <w:szCs w:val="52"/>
          <w:highlight w:val="none"/>
        </w:rPr>
      </w:pPr>
      <w:r>
        <w:rPr>
          <w:rFonts w:hint="eastAsia" w:ascii="华文中宋" w:hAnsi="华文中宋" w:eastAsia="华文中宋" w:cs="Tahoma"/>
          <w:b/>
          <w:color w:val="auto"/>
          <w:kern w:val="0"/>
          <w:sz w:val="52"/>
          <w:szCs w:val="52"/>
          <w:highlight w:val="none"/>
        </w:rPr>
        <w:t>202</w:t>
      </w:r>
      <w:r>
        <w:rPr>
          <w:rFonts w:hint="eastAsia" w:ascii="华文中宋" w:hAnsi="华文中宋" w:eastAsia="华文中宋" w:cs="Tahoma"/>
          <w:b/>
          <w:color w:val="auto"/>
          <w:kern w:val="0"/>
          <w:sz w:val="52"/>
          <w:szCs w:val="52"/>
          <w:highlight w:val="none"/>
          <w:lang w:val="en-US" w:eastAsia="zh-CN"/>
        </w:rPr>
        <w:t>6</w:t>
      </w:r>
      <w:r>
        <w:rPr>
          <w:rFonts w:hint="eastAsia" w:ascii="华文中宋" w:hAnsi="华文中宋" w:eastAsia="华文中宋" w:cs="Tahoma"/>
          <w:b/>
          <w:color w:val="auto"/>
          <w:kern w:val="0"/>
          <w:sz w:val="52"/>
          <w:szCs w:val="52"/>
          <w:highlight w:val="none"/>
        </w:rPr>
        <w:t>年</w:t>
      </w:r>
      <w:r>
        <w:rPr>
          <w:rFonts w:hint="eastAsia" w:ascii="华文中宋" w:hAnsi="华文中宋" w:eastAsia="华文中宋" w:cs="Tahoma"/>
          <w:b/>
          <w:color w:val="auto"/>
          <w:kern w:val="0"/>
          <w:sz w:val="52"/>
          <w:szCs w:val="52"/>
          <w:highlight w:val="none"/>
          <w:lang w:val="en-US" w:eastAsia="zh-CN"/>
        </w:rPr>
        <w:t>上半年</w:t>
      </w:r>
      <w:r>
        <w:rPr>
          <w:rFonts w:hint="eastAsia" w:ascii="华文中宋" w:hAnsi="华文中宋" w:eastAsia="华文中宋" w:cs="Tahoma"/>
          <w:b/>
          <w:color w:val="auto"/>
          <w:kern w:val="0"/>
          <w:sz w:val="52"/>
          <w:szCs w:val="52"/>
          <w:highlight w:val="none"/>
        </w:rPr>
        <w:t>信息披露报告</w:t>
      </w:r>
    </w:p>
    <w:p>
      <w:pPr>
        <w:spacing w:line="360" w:lineRule="auto"/>
        <w:ind w:firstLine="420" w:firstLineChars="200"/>
        <w:jc w:val="left"/>
        <w:rPr>
          <w:rFonts w:ascii="楷体_GB2312" w:hAnsi="ˎ̥" w:eastAsia="楷体_GB2312" w:cs="Tahoma"/>
          <w:b/>
          <w:color w:val="auto"/>
          <w:kern w:val="0"/>
          <w:sz w:val="48"/>
          <w:szCs w:val="48"/>
          <w:highlight w:val="none"/>
        </w:rPr>
      </w:pPr>
      <w:r>
        <w:rPr>
          <w:rFonts w:hint="eastAsia" w:ascii="楷体_GB2312" w:eastAsia="楷体_GB2312"/>
          <w:color w:val="auto"/>
          <w:kern w:val="0"/>
          <w:highlight w:val="none"/>
        </w:rPr>
        <w:t xml:space="preserve"> </w:t>
      </w:r>
    </w:p>
    <w:p>
      <w:pPr>
        <w:pStyle w:val="14"/>
        <w:spacing w:line="360" w:lineRule="auto"/>
        <w:jc w:val="center"/>
        <w:rPr>
          <w:rFonts w:ascii="楷体_GB2312" w:hAnsi="仿宋_GB2312" w:eastAsia="楷体_GB2312"/>
          <w:b/>
          <w:color w:val="auto"/>
          <w:kern w:val="0"/>
          <w:sz w:val="32"/>
          <w:highlight w:val="none"/>
        </w:rPr>
      </w:pPr>
      <w:r>
        <w:rPr>
          <w:rFonts w:ascii="楷体_GB2312" w:hAnsi="仿宋_GB2312" w:eastAsia="楷体_GB2312"/>
          <w:b/>
          <w:color w:val="auto"/>
          <w:kern w:val="0"/>
          <w:sz w:val="32"/>
          <w:highlight w:val="none"/>
        </w:rPr>
        <w:drawing>
          <wp:inline distT="0" distB="0" distL="114300" distR="114300">
            <wp:extent cx="1471295" cy="1369060"/>
            <wp:effectExtent l="0" t="0" r="14605" b="2540"/>
            <wp:docPr id="1" name="图片 1" descr="LOGO+江苏东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江苏东海"/>
                    <pic:cNvPicPr>
                      <a:picLocks noChangeAspect="1"/>
                    </pic:cNvPicPr>
                  </pic:nvPicPr>
                  <pic:blipFill>
                    <a:blip r:embed="rId12" cstate="print"/>
                    <a:stretch>
                      <a:fillRect/>
                    </a:stretch>
                  </pic:blipFill>
                  <pic:spPr>
                    <a:xfrm>
                      <a:off x="0" y="0"/>
                      <a:ext cx="1471295" cy="1369060"/>
                    </a:xfrm>
                    <a:prstGeom prst="rect">
                      <a:avLst/>
                    </a:prstGeom>
                    <a:noFill/>
                    <a:ln>
                      <a:noFill/>
                    </a:ln>
                  </pic:spPr>
                </pic:pic>
              </a:graphicData>
            </a:graphic>
          </wp:inline>
        </w:drawing>
      </w:r>
    </w:p>
    <w:p>
      <w:pPr>
        <w:pStyle w:val="14"/>
        <w:spacing w:line="360" w:lineRule="auto"/>
        <w:ind w:firstLine="643" w:firstLineChars="200"/>
        <w:rPr>
          <w:rFonts w:ascii="楷体_GB2312" w:hAnsi="仿宋_GB2312" w:eastAsia="楷体_GB2312"/>
          <w:b/>
          <w:color w:val="auto"/>
          <w:kern w:val="0"/>
          <w:sz w:val="32"/>
          <w:highlight w:val="none"/>
        </w:rPr>
      </w:pPr>
    </w:p>
    <w:p>
      <w:pPr>
        <w:pStyle w:val="14"/>
        <w:spacing w:line="360" w:lineRule="auto"/>
        <w:ind w:firstLine="643" w:firstLineChars="200"/>
        <w:rPr>
          <w:rFonts w:ascii="楷体_GB2312" w:hAnsi="仿宋_GB2312" w:eastAsia="楷体_GB2312"/>
          <w:b/>
          <w:color w:val="auto"/>
          <w:kern w:val="0"/>
          <w:sz w:val="32"/>
          <w:highlight w:val="none"/>
        </w:rPr>
      </w:pPr>
    </w:p>
    <w:p>
      <w:pPr>
        <w:pStyle w:val="14"/>
        <w:spacing w:line="360" w:lineRule="auto"/>
        <w:rPr>
          <w:rFonts w:ascii="楷体_GB2312" w:hAnsi="宋体" w:eastAsia="楷体_GB2312"/>
          <w:b/>
          <w:color w:val="auto"/>
          <w:kern w:val="0"/>
          <w:sz w:val="48"/>
          <w:szCs w:val="48"/>
          <w:highlight w:val="none"/>
        </w:rPr>
      </w:pPr>
    </w:p>
    <w:p>
      <w:pPr>
        <w:pStyle w:val="14"/>
        <w:spacing w:line="360" w:lineRule="auto"/>
        <w:rPr>
          <w:rFonts w:ascii="楷体_GB2312" w:hAnsi="宋体" w:eastAsia="楷体_GB2312"/>
          <w:b/>
          <w:color w:val="auto"/>
          <w:kern w:val="0"/>
          <w:sz w:val="48"/>
          <w:szCs w:val="48"/>
          <w:highlight w:val="none"/>
        </w:rPr>
      </w:pPr>
    </w:p>
    <w:p>
      <w:pPr>
        <w:pStyle w:val="14"/>
        <w:spacing w:line="360" w:lineRule="auto"/>
        <w:rPr>
          <w:rFonts w:ascii="楷体_GB2312" w:hAnsi="宋体" w:eastAsia="楷体_GB2312"/>
          <w:b/>
          <w:color w:val="auto"/>
          <w:kern w:val="0"/>
          <w:sz w:val="48"/>
          <w:szCs w:val="48"/>
          <w:highlight w:val="none"/>
        </w:rPr>
      </w:pPr>
    </w:p>
    <w:p>
      <w:pPr>
        <w:pStyle w:val="14"/>
        <w:spacing w:line="360" w:lineRule="auto"/>
        <w:jc w:val="center"/>
        <w:rPr>
          <w:rFonts w:ascii="楷体_GB2312" w:hAnsi="宋体" w:eastAsia="楷体_GB2312"/>
          <w:b/>
          <w:color w:val="auto"/>
          <w:kern w:val="0"/>
          <w:sz w:val="36"/>
          <w:szCs w:val="36"/>
          <w:highlight w:val="none"/>
        </w:rPr>
      </w:pPr>
    </w:p>
    <w:p>
      <w:pPr>
        <w:pStyle w:val="14"/>
        <w:spacing w:line="360" w:lineRule="auto"/>
        <w:jc w:val="center"/>
        <w:rPr>
          <w:rFonts w:ascii="楷体_GB2312" w:hAnsi="宋体" w:eastAsia="楷体_GB2312"/>
          <w:b/>
          <w:color w:val="auto"/>
          <w:kern w:val="0"/>
          <w:sz w:val="36"/>
          <w:szCs w:val="36"/>
          <w:highlight w:val="none"/>
        </w:rPr>
      </w:pPr>
    </w:p>
    <w:p>
      <w:pPr>
        <w:pStyle w:val="14"/>
        <w:spacing w:line="360" w:lineRule="auto"/>
        <w:ind w:firstLine="643" w:firstLineChars="200"/>
        <w:rPr>
          <w:rFonts w:ascii="楷体_GB2312" w:hAnsi="仿宋_GB2312" w:eastAsia="楷体_GB2312"/>
          <w:b/>
          <w:color w:val="auto"/>
          <w:kern w:val="0"/>
          <w:sz w:val="32"/>
          <w:highlight w:val="none"/>
        </w:rPr>
      </w:pPr>
    </w:p>
    <w:p>
      <w:pPr>
        <w:pStyle w:val="14"/>
        <w:spacing w:line="360" w:lineRule="auto"/>
        <w:ind w:firstLine="643" w:firstLineChars="200"/>
        <w:rPr>
          <w:rFonts w:ascii="楷体_GB2312" w:hAnsi="仿宋_GB2312" w:eastAsia="楷体_GB2312"/>
          <w:b/>
          <w:color w:val="auto"/>
          <w:kern w:val="0"/>
          <w:sz w:val="32"/>
          <w:highlight w:val="none"/>
        </w:rPr>
      </w:pPr>
    </w:p>
    <w:p>
      <w:pPr>
        <w:pStyle w:val="14"/>
        <w:spacing w:line="360" w:lineRule="auto"/>
        <w:rPr>
          <w:rFonts w:ascii="楷体_GB2312" w:hAnsi="仿宋_GB2312" w:eastAsia="楷体_GB2312"/>
          <w:b/>
          <w:color w:val="auto"/>
          <w:kern w:val="0"/>
          <w:sz w:val="32"/>
          <w:highlight w:val="none"/>
        </w:rPr>
      </w:pPr>
    </w:p>
    <w:p>
      <w:pPr>
        <w:rPr>
          <w:rFonts w:hint="eastAsia" w:ascii="楷体_GB2312" w:hAnsi="华文中宋" w:eastAsia="楷体_GB2312"/>
          <w:color w:val="auto"/>
          <w:sz w:val="44"/>
          <w:szCs w:val="44"/>
          <w:highlight w:val="none"/>
          <w:lang w:val="zh-CN"/>
        </w:rPr>
      </w:pPr>
      <w:r>
        <w:rPr>
          <w:rFonts w:hint="eastAsia" w:ascii="楷体_GB2312" w:hAnsi="华文中宋" w:eastAsia="楷体_GB2312"/>
          <w:color w:val="auto"/>
          <w:sz w:val="44"/>
          <w:szCs w:val="44"/>
          <w:highlight w:val="none"/>
          <w:lang w:val="zh-CN"/>
        </w:rPr>
        <w:br w:type="page"/>
      </w:r>
    </w:p>
    <w:p>
      <w:pPr>
        <w:pStyle w:val="63"/>
        <w:jc w:val="center"/>
        <w:rPr>
          <w:rFonts w:ascii="楷体_GB2312" w:hAnsi="华文中宋" w:eastAsia="楷体_GB2312"/>
          <w:color w:val="auto"/>
          <w:sz w:val="44"/>
          <w:szCs w:val="44"/>
          <w:highlight w:val="none"/>
          <w:lang w:val="zh-CN"/>
        </w:rPr>
      </w:pPr>
      <w:r>
        <w:rPr>
          <w:rFonts w:hint="eastAsia" w:ascii="楷体_GB2312" w:hAnsi="华文中宋" w:eastAsia="楷体_GB2312"/>
          <w:color w:val="auto"/>
          <w:sz w:val="44"/>
          <w:szCs w:val="44"/>
          <w:highlight w:val="none"/>
          <w:lang w:val="zh-CN"/>
        </w:rPr>
        <w:t>目  录</w:t>
      </w:r>
    </w:p>
    <w:p>
      <w:pPr>
        <w:rPr>
          <w:rFonts w:ascii="楷体_GB2312" w:eastAsia="楷体_GB2312"/>
          <w:color w:val="auto"/>
          <w:highlight w:val="none"/>
          <w:lang w:val="zh-CN"/>
        </w:rPr>
      </w:pPr>
    </w:p>
    <w:p>
      <w:pPr>
        <w:rPr>
          <w:rFonts w:ascii="楷体_GB2312" w:eastAsia="楷体_GB2312"/>
          <w:color w:val="auto"/>
          <w:highlight w:val="none"/>
          <w:lang w:val="zh-CN"/>
        </w:rPr>
      </w:pPr>
    </w:p>
    <w:p>
      <w:pPr>
        <w:rPr>
          <w:rFonts w:ascii="楷体_GB2312" w:eastAsia="楷体_GB2312"/>
          <w:color w:val="auto"/>
          <w:highlight w:val="none"/>
          <w:lang w:val="zh-CN"/>
        </w:rPr>
      </w:pPr>
    </w:p>
    <w:p>
      <w:pPr>
        <w:pStyle w:val="20"/>
        <w:tabs>
          <w:tab w:val="right" w:leader="dot" w:pos="8730"/>
          <w:tab w:val="clear" w:pos="8720"/>
        </w:tabs>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TOC \o "1-1" \h \u </w:instrText>
      </w:r>
      <w:r>
        <w:rPr>
          <w:rFonts w:hint="eastAsia" w:ascii="仿宋" w:hAnsi="仿宋" w:eastAsia="仿宋" w:cs="仿宋"/>
          <w:color w:val="auto"/>
          <w:sz w:val="32"/>
          <w:szCs w:val="32"/>
          <w:highlight w:val="none"/>
        </w:rPr>
        <w:fldChar w:fldCharType="separate"/>
      </w:r>
      <w:r>
        <w:rPr>
          <w:color w:val="auto"/>
          <w:highlight w:val="none"/>
        </w:rPr>
        <w:fldChar w:fldCharType="begin"/>
      </w:r>
      <w:r>
        <w:rPr>
          <w:color w:val="auto"/>
          <w:highlight w:val="none"/>
        </w:rPr>
        <w:instrText xml:space="preserve"> HYPERLINK \l "_Toc9519" </w:instrText>
      </w:r>
      <w:r>
        <w:rPr>
          <w:color w:val="auto"/>
          <w:highlight w:val="none"/>
        </w:rPr>
        <w:fldChar w:fldCharType="separate"/>
      </w:r>
      <w:r>
        <w:rPr>
          <w:rFonts w:hint="eastAsia" w:ascii="仿宋" w:hAnsi="仿宋" w:eastAsia="仿宋" w:cs="仿宋"/>
          <w:color w:val="auto"/>
          <w:sz w:val="32"/>
          <w:szCs w:val="32"/>
          <w:highlight w:val="none"/>
        </w:rPr>
        <w:t>第一章　重要提示</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_Toc9519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1</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p>
    <w:p>
      <w:pPr>
        <w:pStyle w:val="20"/>
        <w:tabs>
          <w:tab w:val="right" w:leader="dot" w:pos="8730"/>
          <w:tab w:val="clear" w:pos="8720"/>
        </w:tabs>
        <w:rPr>
          <w:rFonts w:ascii="仿宋" w:hAnsi="仿宋" w:eastAsia="仿宋" w:cs="仿宋"/>
          <w:color w:val="auto"/>
          <w:sz w:val="32"/>
          <w:szCs w:val="32"/>
          <w:highlight w:val="none"/>
        </w:rPr>
      </w:pPr>
      <w:r>
        <w:rPr>
          <w:color w:val="auto"/>
          <w:highlight w:val="none"/>
        </w:rPr>
        <w:fldChar w:fldCharType="begin"/>
      </w:r>
      <w:r>
        <w:rPr>
          <w:color w:val="auto"/>
          <w:highlight w:val="none"/>
        </w:rPr>
        <w:instrText xml:space="preserve"> HYPERLINK \l "_Toc26614" </w:instrText>
      </w:r>
      <w:r>
        <w:rPr>
          <w:color w:val="auto"/>
          <w:highlight w:val="none"/>
        </w:rPr>
        <w:fldChar w:fldCharType="separate"/>
      </w:r>
      <w:r>
        <w:rPr>
          <w:rFonts w:hint="eastAsia" w:ascii="仿宋" w:hAnsi="仿宋" w:eastAsia="仿宋" w:cs="仿宋"/>
          <w:color w:val="auto"/>
          <w:sz w:val="32"/>
          <w:szCs w:val="32"/>
          <w:highlight w:val="none"/>
        </w:rPr>
        <w:t>第二章　本行概况</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_Toc26614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2</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p>
    <w:p>
      <w:pPr>
        <w:pStyle w:val="20"/>
        <w:tabs>
          <w:tab w:val="right" w:leader="dot" w:pos="8730"/>
          <w:tab w:val="clear" w:pos="8720"/>
        </w:tabs>
        <w:rPr>
          <w:rFonts w:hint="eastAsia" w:ascii="仿宋" w:hAnsi="仿宋" w:eastAsia="仿宋" w:cs="仿宋"/>
          <w:color w:val="auto"/>
          <w:sz w:val="32"/>
          <w:szCs w:val="32"/>
          <w:highlight w:val="none"/>
          <w:lang w:val="en-US" w:eastAsia="zh-CN"/>
        </w:rPr>
      </w:pPr>
      <w:r>
        <w:rPr>
          <w:color w:val="auto"/>
          <w:highlight w:val="none"/>
        </w:rPr>
        <w:fldChar w:fldCharType="begin"/>
      </w:r>
      <w:r>
        <w:rPr>
          <w:color w:val="auto"/>
          <w:highlight w:val="none"/>
        </w:rPr>
        <w:instrText xml:space="preserve"> HYPERLINK \l "_Toc15354" </w:instrText>
      </w:r>
      <w:r>
        <w:rPr>
          <w:color w:val="auto"/>
          <w:highlight w:val="none"/>
        </w:rPr>
        <w:fldChar w:fldCharType="separate"/>
      </w:r>
      <w:r>
        <w:rPr>
          <w:rFonts w:hint="eastAsia" w:ascii="仿宋" w:hAnsi="仿宋" w:eastAsia="仿宋" w:cs="仿宋"/>
          <w:color w:val="auto"/>
          <w:sz w:val="32"/>
          <w:szCs w:val="32"/>
          <w:highlight w:val="none"/>
        </w:rPr>
        <w:t>第三章　经营概况</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val="en-US" w:eastAsia="zh-CN"/>
        </w:rPr>
        <w:t>5</w:t>
      </w:r>
    </w:p>
    <w:p>
      <w:pPr>
        <w:pStyle w:val="20"/>
        <w:tabs>
          <w:tab w:val="right" w:leader="dot" w:pos="8730"/>
          <w:tab w:val="clear" w:pos="8720"/>
        </w:tabs>
        <w:rPr>
          <w:rFonts w:hint="eastAsia" w:ascii="仿宋" w:hAnsi="仿宋" w:eastAsia="仿宋" w:cs="仿宋"/>
          <w:color w:val="auto"/>
          <w:sz w:val="32"/>
          <w:szCs w:val="32"/>
          <w:highlight w:val="none"/>
          <w:lang w:val="en-US" w:eastAsia="zh-CN"/>
        </w:rPr>
      </w:pPr>
      <w:r>
        <w:rPr>
          <w:color w:val="auto"/>
          <w:highlight w:val="none"/>
        </w:rPr>
        <w:fldChar w:fldCharType="begin"/>
      </w:r>
      <w:r>
        <w:rPr>
          <w:color w:val="auto"/>
          <w:highlight w:val="none"/>
        </w:rPr>
        <w:instrText xml:space="preserve"> HYPERLINK \l "_Toc26520" </w:instrText>
      </w:r>
      <w:r>
        <w:rPr>
          <w:color w:val="auto"/>
          <w:highlight w:val="none"/>
        </w:rPr>
        <w:fldChar w:fldCharType="separate"/>
      </w:r>
      <w:r>
        <w:rPr>
          <w:rFonts w:hint="eastAsia" w:ascii="仿宋" w:hAnsi="仿宋" w:eastAsia="仿宋" w:cs="仿宋"/>
          <w:color w:val="auto"/>
          <w:sz w:val="32"/>
          <w:szCs w:val="32"/>
          <w:highlight w:val="none"/>
        </w:rPr>
        <w:t>第四章　法人治理</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val="en-US" w:eastAsia="zh-CN"/>
        </w:rPr>
        <w:t>6</w:t>
      </w:r>
    </w:p>
    <w:p>
      <w:pPr>
        <w:pStyle w:val="20"/>
        <w:tabs>
          <w:tab w:val="right" w:leader="dot" w:pos="8730"/>
          <w:tab w:val="clear" w:pos="8720"/>
        </w:tabs>
        <w:rPr>
          <w:rFonts w:hint="eastAsia" w:ascii="仿宋" w:hAnsi="仿宋" w:eastAsia="仿宋" w:cs="仿宋"/>
          <w:color w:val="auto"/>
          <w:sz w:val="32"/>
          <w:szCs w:val="32"/>
          <w:highlight w:val="none"/>
          <w:lang w:val="en-US" w:eastAsia="zh-CN"/>
        </w:rPr>
      </w:pPr>
      <w:r>
        <w:rPr>
          <w:color w:val="auto"/>
          <w:highlight w:val="none"/>
        </w:rPr>
        <w:fldChar w:fldCharType="begin"/>
      </w:r>
      <w:r>
        <w:rPr>
          <w:color w:val="auto"/>
          <w:highlight w:val="none"/>
        </w:rPr>
        <w:instrText xml:space="preserve"> HYPERLINK \l "_Toc14257" </w:instrText>
      </w:r>
      <w:r>
        <w:rPr>
          <w:color w:val="auto"/>
          <w:highlight w:val="none"/>
        </w:rPr>
        <w:fldChar w:fldCharType="separate"/>
      </w:r>
      <w:r>
        <w:rPr>
          <w:rFonts w:hint="eastAsia" w:ascii="仿宋" w:hAnsi="仿宋" w:eastAsia="仿宋" w:cs="仿宋"/>
          <w:color w:val="auto"/>
          <w:sz w:val="32"/>
          <w:szCs w:val="32"/>
          <w:highlight w:val="none"/>
        </w:rPr>
        <w:t>第五章　风险管理</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lang w:val="en-US" w:eastAsia="zh-CN"/>
        </w:rPr>
        <w:t>1</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val="en-US" w:eastAsia="zh-CN"/>
        </w:rPr>
        <w:t>3</w:t>
      </w:r>
    </w:p>
    <w:p>
      <w:pPr>
        <w:pStyle w:val="20"/>
        <w:tabs>
          <w:tab w:val="right" w:leader="dot" w:pos="8730"/>
          <w:tab w:val="clear" w:pos="8720"/>
        </w:tabs>
        <w:rPr>
          <w:rFonts w:hint="eastAsia" w:ascii="仿宋" w:hAnsi="仿宋" w:eastAsia="仿宋" w:cs="仿宋"/>
          <w:color w:val="auto"/>
          <w:sz w:val="32"/>
          <w:szCs w:val="32"/>
          <w:highlight w:val="none"/>
          <w:lang w:val="en-US" w:eastAsia="zh-CN"/>
        </w:rPr>
      </w:pPr>
      <w:r>
        <w:rPr>
          <w:color w:val="auto"/>
          <w:highlight w:val="none"/>
        </w:rPr>
        <w:fldChar w:fldCharType="begin"/>
      </w:r>
      <w:r>
        <w:rPr>
          <w:color w:val="auto"/>
          <w:highlight w:val="none"/>
        </w:rPr>
        <w:instrText xml:space="preserve"> HYPERLINK \l "_Toc27762" </w:instrText>
      </w:r>
      <w:r>
        <w:rPr>
          <w:color w:val="auto"/>
          <w:highlight w:val="none"/>
        </w:rPr>
        <w:fldChar w:fldCharType="separate"/>
      </w:r>
      <w:r>
        <w:rPr>
          <w:rFonts w:hint="eastAsia" w:ascii="仿宋" w:hAnsi="仿宋" w:eastAsia="仿宋" w:cs="仿宋"/>
          <w:color w:val="auto"/>
          <w:sz w:val="32"/>
          <w:szCs w:val="32"/>
          <w:highlight w:val="none"/>
        </w:rPr>
        <w:t xml:space="preserve">第六章  </w:t>
      </w:r>
      <w:r>
        <w:rPr>
          <w:rFonts w:hint="eastAsia" w:ascii="仿宋" w:hAnsi="仿宋" w:eastAsia="仿宋" w:cs="仿宋"/>
          <w:color w:val="auto"/>
          <w:sz w:val="32"/>
          <w:szCs w:val="32"/>
          <w:highlight w:val="none"/>
          <w:lang w:val="en-US" w:eastAsia="zh-CN"/>
        </w:rPr>
        <w:t>上半年</w:t>
      </w:r>
      <w:r>
        <w:rPr>
          <w:rFonts w:hint="eastAsia" w:ascii="仿宋" w:hAnsi="仿宋" w:eastAsia="仿宋" w:cs="仿宋"/>
          <w:color w:val="auto"/>
          <w:sz w:val="32"/>
          <w:szCs w:val="32"/>
          <w:highlight w:val="none"/>
        </w:rPr>
        <w:t>重要事项</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val="en-US" w:eastAsia="zh-CN"/>
        </w:rPr>
        <w:t>3</w:t>
      </w:r>
    </w:p>
    <w:p>
      <w:pPr>
        <w:pStyle w:val="20"/>
        <w:tabs>
          <w:tab w:val="right" w:leader="dot" w:pos="8730"/>
          <w:tab w:val="clear" w:pos="8720"/>
        </w:tabs>
        <w:rPr>
          <w:rFonts w:hint="eastAsia" w:ascii="仿宋" w:hAnsi="仿宋" w:eastAsia="仿宋" w:cs="仿宋"/>
          <w:color w:val="auto"/>
          <w:sz w:val="32"/>
          <w:szCs w:val="32"/>
          <w:highlight w:val="none"/>
          <w:lang w:val="en-US" w:eastAsia="zh-CN"/>
        </w:rPr>
      </w:pPr>
      <w:r>
        <w:rPr>
          <w:color w:val="auto"/>
          <w:highlight w:val="none"/>
        </w:rPr>
        <w:fldChar w:fldCharType="begin"/>
      </w:r>
      <w:r>
        <w:rPr>
          <w:color w:val="auto"/>
          <w:highlight w:val="none"/>
        </w:rPr>
        <w:instrText xml:space="preserve"> HYPERLINK \l "_Toc5784" </w:instrText>
      </w:r>
      <w:r>
        <w:rPr>
          <w:color w:val="auto"/>
          <w:highlight w:val="none"/>
        </w:rPr>
        <w:fldChar w:fldCharType="separate"/>
      </w:r>
      <w:r>
        <w:rPr>
          <w:rFonts w:hint="eastAsia" w:ascii="仿宋" w:hAnsi="仿宋" w:eastAsia="仿宋" w:cs="仿宋"/>
          <w:color w:val="auto"/>
          <w:sz w:val="32"/>
          <w:szCs w:val="32"/>
          <w:highlight w:val="none"/>
        </w:rPr>
        <w:t>第七章　财务会计报告</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lang w:val="en-US" w:eastAsia="zh-CN"/>
        </w:rPr>
        <w:t>2</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lang w:val="en-US" w:eastAsia="zh-CN"/>
        </w:rPr>
        <w:t>4</w:t>
      </w:r>
    </w:p>
    <w:p>
      <w:pPr>
        <w:pStyle w:val="14"/>
        <w:spacing w:line="360" w:lineRule="auto"/>
        <w:rPr>
          <w:rFonts w:ascii="仿宋_GB2312" w:hAnsi="仿宋_GB2312" w:eastAsia="仿宋_GB2312"/>
          <w:b/>
          <w:color w:val="auto"/>
          <w:kern w:val="0"/>
          <w:sz w:val="32"/>
          <w:highlight w:val="none"/>
        </w:rPr>
      </w:pPr>
      <w:r>
        <w:rPr>
          <w:rFonts w:hint="eastAsia" w:ascii="仿宋" w:hAnsi="仿宋" w:eastAsia="仿宋" w:cs="仿宋"/>
          <w:color w:val="auto"/>
          <w:kern w:val="0"/>
          <w:sz w:val="32"/>
          <w:szCs w:val="32"/>
          <w:highlight w:val="none"/>
        </w:rPr>
        <w:fldChar w:fldCharType="end"/>
      </w:r>
    </w:p>
    <w:p>
      <w:pPr>
        <w:pStyle w:val="14"/>
        <w:spacing w:line="360" w:lineRule="auto"/>
        <w:rPr>
          <w:rFonts w:ascii="仿宋_GB2312" w:hAnsi="仿宋_GB2312" w:eastAsia="仿宋_GB2312"/>
          <w:b/>
          <w:color w:val="auto"/>
          <w:kern w:val="0"/>
          <w:sz w:val="32"/>
          <w:highlight w:val="none"/>
        </w:rPr>
      </w:pPr>
    </w:p>
    <w:p>
      <w:pPr>
        <w:pStyle w:val="14"/>
        <w:spacing w:line="360" w:lineRule="auto"/>
        <w:jc w:val="center"/>
        <w:rPr>
          <w:rFonts w:ascii="仿宋_GB2312" w:hAnsi="宋体" w:eastAsia="仿宋_GB2312"/>
          <w:b/>
          <w:color w:val="auto"/>
          <w:kern w:val="0"/>
          <w:sz w:val="32"/>
          <w:highlight w:val="none"/>
        </w:rPr>
      </w:pPr>
    </w:p>
    <w:p>
      <w:pPr>
        <w:pStyle w:val="24"/>
        <w:rPr>
          <w:rFonts w:ascii="仿宋_GB2312" w:eastAsia="仿宋_GB2312"/>
          <w:color w:val="auto"/>
          <w:kern w:val="0"/>
          <w:highlight w:val="none"/>
        </w:rPr>
      </w:pPr>
    </w:p>
    <w:p>
      <w:pPr>
        <w:pStyle w:val="24"/>
        <w:rPr>
          <w:rFonts w:ascii="仿宋_GB2312" w:eastAsia="仿宋_GB2312"/>
          <w:color w:val="auto"/>
          <w:kern w:val="0"/>
          <w:highlight w:val="none"/>
        </w:rPr>
      </w:pPr>
    </w:p>
    <w:p>
      <w:pPr>
        <w:pStyle w:val="24"/>
        <w:rPr>
          <w:rFonts w:ascii="仿宋_GB2312" w:eastAsia="仿宋_GB2312"/>
          <w:color w:val="auto"/>
          <w:kern w:val="0"/>
          <w:highlight w:val="none"/>
        </w:rPr>
      </w:pPr>
    </w:p>
    <w:p>
      <w:pPr>
        <w:pStyle w:val="24"/>
        <w:rPr>
          <w:rFonts w:ascii="仿宋_GB2312" w:eastAsia="仿宋_GB2312"/>
          <w:color w:val="auto"/>
          <w:kern w:val="0"/>
          <w:highlight w:val="none"/>
        </w:rPr>
      </w:pPr>
    </w:p>
    <w:p>
      <w:pPr>
        <w:pStyle w:val="24"/>
        <w:jc w:val="both"/>
        <w:rPr>
          <w:rFonts w:ascii="仿宋_GB2312" w:eastAsia="仿宋_GB2312"/>
          <w:color w:val="auto"/>
          <w:kern w:val="0"/>
          <w:highlight w:val="none"/>
        </w:rPr>
        <w:sectPr>
          <w:headerReference r:id="rId4" w:type="first"/>
          <w:headerReference r:id="rId3" w:type="default"/>
          <w:pgSz w:w="11906" w:h="16838"/>
          <w:pgMar w:top="1701" w:right="1588" w:bottom="1701" w:left="1588" w:header="851" w:footer="1134" w:gutter="0"/>
          <w:pgNumType w:start="1"/>
          <w:cols w:space="720" w:num="1"/>
          <w:titlePg/>
          <w:docGrid w:type="lines" w:linePitch="312" w:charSpace="0"/>
        </w:sectPr>
      </w:pPr>
    </w:p>
    <w:p>
      <w:pPr>
        <w:pStyle w:val="24"/>
        <w:rPr>
          <w:rFonts w:ascii="仿宋_GB2312" w:eastAsia="仿宋_GB2312"/>
          <w:color w:val="auto"/>
          <w:kern w:val="0"/>
          <w:sz w:val="32"/>
          <w:szCs w:val="32"/>
          <w:highlight w:val="none"/>
        </w:rPr>
      </w:pPr>
      <w:bookmarkStart w:id="0" w:name="_Toc9519"/>
      <w:bookmarkStart w:id="1" w:name="_Toc408991738"/>
      <w:bookmarkStart w:id="2" w:name="_Toc408991535"/>
      <w:r>
        <w:rPr>
          <w:rFonts w:hint="eastAsia" w:ascii="仿宋_GB2312" w:eastAsia="仿宋_GB2312"/>
          <w:color w:val="auto"/>
          <w:kern w:val="0"/>
          <w:sz w:val="32"/>
          <w:szCs w:val="32"/>
          <w:highlight w:val="none"/>
        </w:rPr>
        <w:t>第一章　重要提示</w:t>
      </w:r>
      <w:bookmarkEnd w:id="0"/>
    </w:p>
    <w:p>
      <w:pPr>
        <w:pStyle w:val="14"/>
        <w:spacing w:line="520" w:lineRule="exact"/>
        <w:jc w:val="center"/>
        <w:rPr>
          <w:rFonts w:ascii="仿宋_GB2312" w:hAnsi="仿宋_GB2312" w:eastAsia="仿宋_GB2312"/>
          <w:b/>
          <w:color w:val="auto"/>
          <w:kern w:val="0"/>
          <w:sz w:val="32"/>
          <w:szCs w:val="32"/>
          <w:highlight w:val="none"/>
        </w:rPr>
      </w:pPr>
    </w:p>
    <w:p>
      <w:pPr>
        <w:pStyle w:val="14"/>
        <w:spacing w:line="480" w:lineRule="exact"/>
        <w:ind w:firstLine="640" w:firstLineChars="200"/>
        <w:rPr>
          <w:rFonts w:hint="eastAsia" w:ascii="仿宋_GB2312" w:hAnsi="仿宋_GB2312" w:eastAsia="仿宋_GB2312"/>
          <w:color w:val="auto"/>
          <w:kern w:val="0"/>
          <w:sz w:val="32"/>
          <w:szCs w:val="32"/>
          <w:highlight w:val="none"/>
          <w:lang w:eastAsia="zh-CN"/>
        </w:rPr>
      </w:pPr>
      <w:r>
        <w:rPr>
          <w:rFonts w:hint="eastAsia" w:ascii="仿宋_GB2312" w:hAnsi="仿宋_GB2312" w:eastAsia="仿宋_GB2312"/>
          <w:color w:val="auto"/>
          <w:kern w:val="0"/>
          <w:sz w:val="32"/>
          <w:szCs w:val="32"/>
          <w:highlight w:val="none"/>
        </w:rPr>
        <w:t>1.本行董事会保证本报告所载资料不存在任何重大遗漏，虚假陈述或者严重误导，并对其内容的真实性、准确性和完整性承担个别及连带责任。</w:t>
      </w:r>
    </w:p>
    <w:p>
      <w:pPr>
        <w:pStyle w:val="14"/>
        <w:spacing w:line="480"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olor w:val="auto"/>
          <w:kern w:val="0"/>
          <w:sz w:val="32"/>
          <w:szCs w:val="32"/>
          <w:highlight w:val="none"/>
          <w:lang w:val="en-US" w:eastAsia="zh-CN"/>
        </w:rPr>
        <w:t>2.</w:t>
      </w:r>
      <w:r>
        <w:rPr>
          <w:rFonts w:hint="eastAsia" w:ascii="Times New Roman" w:hAnsi="Times New Roman" w:eastAsia="仿宋_GB2312" w:cs="Times New Roman"/>
          <w:color w:val="auto"/>
          <w:kern w:val="2"/>
          <w:sz w:val="32"/>
          <w:szCs w:val="32"/>
          <w:highlight w:val="none"/>
          <w:lang w:val="en-US" w:eastAsia="zh-CN" w:bidi="ar-SA"/>
        </w:rPr>
        <w:t>本行2026年上半年报告未经审计。</w:t>
      </w:r>
    </w:p>
    <w:p>
      <w:pPr>
        <w:pStyle w:val="14"/>
        <w:spacing w:line="480" w:lineRule="exact"/>
        <w:ind w:firstLine="640" w:firstLineChars="200"/>
        <w:rPr>
          <w:rFonts w:hint="default" w:ascii="Times New Roman" w:hAnsi="Times New Roman" w:eastAsia="仿宋_GB2312" w:cs="Times New Roman"/>
          <w:color w:val="auto"/>
          <w:kern w:val="0"/>
          <w:sz w:val="32"/>
          <w:szCs w:val="32"/>
          <w:highlight w:val="none"/>
        </w:rPr>
      </w:pPr>
    </w:p>
    <w:p>
      <w:pPr>
        <w:pStyle w:val="14"/>
        <w:spacing w:line="480" w:lineRule="exact"/>
        <w:ind w:firstLine="640" w:firstLineChars="200"/>
        <w:rPr>
          <w:rFonts w:hint="default" w:ascii="仿宋_GB2312" w:hAnsi="仿宋_GB2312" w:eastAsia="仿宋_GB2312"/>
          <w:color w:val="auto"/>
          <w:kern w:val="0"/>
          <w:sz w:val="32"/>
          <w:szCs w:val="32"/>
          <w:highlight w:val="none"/>
          <w:lang w:val="en-US" w:eastAsia="zh-CN"/>
        </w:rPr>
      </w:pPr>
    </w:p>
    <w:p>
      <w:pPr>
        <w:pStyle w:val="14"/>
        <w:spacing w:line="480" w:lineRule="exact"/>
        <w:ind w:firstLine="640" w:firstLineChars="200"/>
        <w:rPr>
          <w:rFonts w:hint="eastAsia" w:ascii="仿宋_GB2312" w:hAnsi="仿宋_GB2312" w:eastAsia="仿宋_GB2312"/>
          <w:color w:val="auto"/>
          <w:kern w:val="0"/>
          <w:sz w:val="32"/>
          <w:szCs w:val="32"/>
          <w:highlight w:val="none"/>
        </w:rPr>
      </w:pPr>
    </w:p>
    <w:p>
      <w:pPr>
        <w:pStyle w:val="14"/>
        <w:spacing w:line="480" w:lineRule="exact"/>
        <w:ind w:firstLine="640" w:firstLineChars="200"/>
        <w:rPr>
          <w:rFonts w:ascii="仿宋_GB2312" w:hAnsi="仿宋_GB2312" w:eastAsia="仿宋_GB2312"/>
          <w:color w:val="auto"/>
          <w:kern w:val="0"/>
          <w:sz w:val="32"/>
          <w:szCs w:val="32"/>
          <w:highlight w:val="none"/>
        </w:rPr>
      </w:pPr>
    </w:p>
    <w:p>
      <w:pPr>
        <w:pStyle w:val="14"/>
        <w:spacing w:line="360" w:lineRule="auto"/>
        <w:jc w:val="center"/>
        <w:rPr>
          <w:rFonts w:ascii="仿宋_GB2312" w:hAnsi="仿宋_GB2312" w:eastAsia="仿宋_GB2312"/>
          <w:color w:val="auto"/>
          <w:kern w:val="0"/>
          <w:sz w:val="32"/>
          <w:szCs w:val="32"/>
          <w:highlight w:val="none"/>
        </w:rPr>
      </w:pPr>
    </w:p>
    <w:p>
      <w:pPr>
        <w:pStyle w:val="24"/>
        <w:rPr>
          <w:rFonts w:ascii="仿宋_GB2312" w:hAnsi="仿宋_GB2312" w:eastAsia="仿宋_GB2312"/>
          <w:b w:val="0"/>
          <w:bCs w:val="0"/>
          <w:color w:val="auto"/>
          <w:kern w:val="0"/>
          <w:sz w:val="32"/>
          <w:szCs w:val="32"/>
          <w:highlight w:val="none"/>
        </w:rPr>
      </w:pPr>
      <w:r>
        <w:rPr>
          <w:rFonts w:hint="eastAsia" w:ascii="仿宋_GB2312" w:eastAsia="仿宋_GB2312"/>
          <w:color w:val="auto"/>
          <w:kern w:val="0"/>
          <w:sz w:val="32"/>
          <w:szCs w:val="32"/>
          <w:highlight w:val="none"/>
        </w:rPr>
        <w:br w:type="page"/>
      </w:r>
      <w:bookmarkStart w:id="3" w:name="_Toc26614"/>
      <w:r>
        <w:rPr>
          <w:rFonts w:hint="eastAsia" w:ascii="仿宋_GB2312" w:eastAsia="仿宋_GB2312"/>
          <w:color w:val="auto"/>
          <w:kern w:val="0"/>
          <w:sz w:val="32"/>
          <w:szCs w:val="32"/>
          <w:highlight w:val="none"/>
        </w:rPr>
        <w:t>第二章　本行概况</w:t>
      </w:r>
      <w:bookmarkEnd w:id="3"/>
    </w:p>
    <w:p>
      <w:pPr>
        <w:pStyle w:val="14"/>
        <w:spacing w:line="480" w:lineRule="exact"/>
        <w:ind w:firstLine="640" w:firstLineChars="200"/>
        <w:rPr>
          <w:rFonts w:ascii="黑体" w:hAnsi="黑体" w:eastAsia="黑体"/>
          <w:color w:val="auto"/>
          <w:kern w:val="0"/>
          <w:sz w:val="32"/>
          <w:szCs w:val="32"/>
          <w:highlight w:val="none"/>
        </w:rPr>
      </w:pPr>
      <w:r>
        <w:rPr>
          <w:rFonts w:hint="eastAsia" w:ascii="黑体" w:hAnsi="黑体" w:eastAsia="黑体"/>
          <w:color w:val="auto"/>
          <w:kern w:val="0"/>
          <w:sz w:val="32"/>
          <w:szCs w:val="32"/>
          <w:highlight w:val="none"/>
        </w:rPr>
        <w:t>一、基本情况</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1.本行法定中文名称：江苏东海农村商业银行股份有限公司</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中文简称：东海农商银行</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2.本行法定英文名称：JIANGSU  DONGHAI  RURAL  COMMERCIAL  BANK  CO.，LTD</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英文缩写:DHRCB</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3.注册地址及联系信息：</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东海县牛山镇海陵东路8号</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邮政编码：222300</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联系电话：0518-87288341</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传真：0518-87288341</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4.法定代表人：王良新</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5.聘请的会计师事务所名称：江苏天凯会计师事务所有限公司</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6.统一社会信用代码：91320700323654017N</w:t>
      </w:r>
    </w:p>
    <w:p>
      <w:pPr>
        <w:pStyle w:val="14"/>
        <w:spacing w:line="480" w:lineRule="exact"/>
        <w:ind w:firstLine="640" w:firstLineChars="200"/>
        <w:rPr>
          <w:rFonts w:hint="eastAsia" w:ascii="黑体" w:hAnsi="黑体" w:eastAsia="黑体"/>
          <w:color w:val="auto"/>
          <w:kern w:val="0"/>
          <w:sz w:val="32"/>
          <w:szCs w:val="32"/>
          <w:highlight w:val="none"/>
          <w:lang w:eastAsia="zh-CN"/>
        </w:rPr>
      </w:pPr>
      <w:r>
        <w:rPr>
          <w:rFonts w:hint="eastAsia" w:ascii="黑体" w:hAnsi="黑体" w:eastAsia="黑体"/>
          <w:color w:val="auto"/>
          <w:kern w:val="0"/>
          <w:sz w:val="32"/>
          <w:szCs w:val="32"/>
          <w:highlight w:val="none"/>
        </w:rPr>
        <w:t>二、本行组织结构（见架构图）</w:t>
      </w:r>
    </w:p>
    <w:p>
      <w:pPr>
        <w:pStyle w:val="14"/>
        <w:spacing w:line="360" w:lineRule="auto"/>
        <w:ind w:firstLine="640" w:firstLineChars="200"/>
        <w:rPr>
          <w:rFonts w:ascii="楷体_GB2312" w:hAnsi="仿宋_GB2312" w:eastAsia="楷体_GB2312"/>
          <w:color w:val="auto"/>
          <w:kern w:val="0"/>
          <w:sz w:val="32"/>
          <w:szCs w:val="32"/>
          <w:highlight w:val="none"/>
        </w:rPr>
      </w:pPr>
    </w:p>
    <w:p>
      <w:pPr>
        <w:pStyle w:val="14"/>
        <w:spacing w:line="360" w:lineRule="auto"/>
        <w:rPr>
          <w:rFonts w:ascii="楷体_GB2312" w:hAnsi="仿宋_GB2312" w:eastAsia="楷体_GB2312"/>
          <w:b/>
          <w:color w:val="auto"/>
          <w:kern w:val="0"/>
          <w:sz w:val="36"/>
          <w:szCs w:val="36"/>
          <w:highlight w:val="none"/>
        </w:rPr>
        <w:sectPr>
          <w:headerReference r:id="rId5" w:type="first"/>
          <w:footerReference r:id="rId7" w:type="first"/>
          <w:footerReference r:id="rId6" w:type="default"/>
          <w:pgSz w:w="11906" w:h="16838"/>
          <w:pgMar w:top="1701" w:right="1588" w:bottom="1701" w:left="1588" w:header="851" w:footer="1134" w:gutter="0"/>
          <w:pgNumType w:start="1"/>
          <w:cols w:space="720" w:num="1"/>
          <w:titlePg/>
          <w:docGrid w:type="lines" w:linePitch="312" w:charSpace="0"/>
        </w:sectPr>
      </w:pPr>
    </w:p>
    <w:p>
      <w:pPr>
        <w:spacing w:line="280" w:lineRule="exact"/>
        <w:rPr>
          <w:rFonts w:ascii="楷体_GB2312" w:eastAsia="楷体_GB2312"/>
          <w:color w:val="auto"/>
          <w:highlight w:val="none"/>
        </w:rPr>
      </w:pPr>
    </w:p>
    <w:p>
      <w:pPr>
        <w:pStyle w:val="14"/>
        <w:spacing w:line="360" w:lineRule="auto"/>
        <w:jc w:val="center"/>
        <w:rPr>
          <w:rFonts w:ascii="楷体_GB2312" w:hAnsi="仿宋_GB2312" w:eastAsia="楷体_GB2312"/>
          <w:b/>
          <w:color w:val="auto"/>
          <w:kern w:val="0"/>
          <w:sz w:val="36"/>
          <w:szCs w:val="36"/>
          <w:highlight w:val="none"/>
        </w:rPr>
      </w:pPr>
    </w:p>
    <w:p>
      <w:pPr>
        <w:pStyle w:val="14"/>
        <w:spacing w:line="360" w:lineRule="auto"/>
        <w:jc w:val="center"/>
        <w:rPr>
          <w:rFonts w:hint="eastAsia" w:ascii="楷体_GB2312" w:hAnsi="仿宋_GB2312" w:eastAsia="楷体_GB2312"/>
          <w:b/>
          <w:color w:val="auto"/>
          <w:kern w:val="0"/>
          <w:sz w:val="36"/>
          <w:szCs w:val="36"/>
          <w:highlight w:val="none"/>
          <w:lang w:eastAsia="zh-CN"/>
        </w:rPr>
        <w:sectPr>
          <w:headerReference r:id="rId8" w:type="first"/>
          <w:pgSz w:w="16838" w:h="11906" w:orient="landscape"/>
          <w:pgMar w:top="701" w:right="1021" w:bottom="1134" w:left="1021" w:header="709" w:footer="1134" w:gutter="0"/>
          <w:cols w:space="720" w:num="1"/>
          <w:titlePg/>
          <w:docGrid w:type="lines" w:linePitch="312" w:charSpace="0"/>
        </w:sectPr>
      </w:pPr>
      <w:r>
        <w:rPr>
          <w:rFonts w:hint="eastAsia" w:ascii="楷体_GB2312" w:hAnsi="仿宋_GB2312" w:eastAsia="楷体_GB2312"/>
          <w:b/>
          <w:color w:val="auto"/>
          <w:kern w:val="0"/>
          <w:sz w:val="36"/>
          <w:szCs w:val="36"/>
          <w:highlight w:val="none"/>
          <w:lang w:eastAsia="zh-CN"/>
        </w:rPr>
        <w:drawing>
          <wp:inline distT="0" distB="0" distL="114300" distR="114300">
            <wp:extent cx="9359900" cy="5266055"/>
            <wp:effectExtent l="0" t="0" r="12700" b="10795"/>
            <wp:docPr id="2" name="图片 2" descr="C:\Users\Administrator\Desktop\组织架构图.png组织架构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组织架构图.png组织架构图"/>
                    <pic:cNvPicPr>
                      <a:picLocks noChangeAspect="1"/>
                    </pic:cNvPicPr>
                  </pic:nvPicPr>
                  <pic:blipFill>
                    <a:blip r:embed="rId13"/>
                    <a:srcRect/>
                    <a:stretch>
                      <a:fillRect/>
                    </a:stretch>
                  </pic:blipFill>
                  <pic:spPr>
                    <a:xfrm>
                      <a:off x="0" y="0"/>
                      <a:ext cx="9359900" cy="5266055"/>
                    </a:xfrm>
                    <a:prstGeom prst="rect">
                      <a:avLst/>
                    </a:prstGeom>
                  </pic:spPr>
                </pic:pic>
              </a:graphicData>
            </a:graphic>
          </wp:inline>
        </w:drawing>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kern w:val="0"/>
          <w:sz w:val="32"/>
          <w:szCs w:val="32"/>
          <w:highlight w:val="none"/>
          <w:lang w:val="en-US" w:eastAsia="zh-CN"/>
        </w:rPr>
      </w:pPr>
      <w:r>
        <w:rPr>
          <w:rFonts w:hint="eastAsia" w:ascii="仿宋_GB2312" w:hAnsi="仿宋_GB2312" w:eastAsia="仿宋_GB2312"/>
          <w:color w:val="auto"/>
          <w:kern w:val="0"/>
          <w:sz w:val="32"/>
          <w:szCs w:val="32"/>
          <w:highlight w:val="none"/>
        </w:rPr>
        <w:t>本行股东会由本行全体入股股东组成，是本行的最高权力机构。本行设董事会。董事会为本行的常设权力机构和经营决策机构，向股东会负责并报告工作。董事会董事由股东会选举或罢免。董事会下设战略发展委员会、风险管理与关联交易控制委员会、提名与薪酬委员会、审计委员会、金融消费者权益保护工作委员会、三农金融服务委员会六个专门委员会。</w:t>
      </w:r>
      <w:r>
        <w:rPr>
          <w:rFonts w:hint="eastAsia" w:ascii="仿宋_GB2312" w:hAnsi="仿宋_GB2312" w:eastAsia="仿宋_GB2312"/>
          <w:color w:val="auto"/>
          <w:kern w:val="0"/>
          <w:sz w:val="32"/>
          <w:szCs w:val="32"/>
          <w:highlight w:val="none"/>
          <w:lang w:val="en-US" w:eastAsia="zh-CN"/>
        </w:rPr>
        <w:t>本行不</w:t>
      </w:r>
      <w:r>
        <w:rPr>
          <w:rFonts w:hint="eastAsia" w:ascii="仿宋_GB2312" w:hAnsi="仿宋_GB2312" w:eastAsia="仿宋_GB2312"/>
          <w:color w:val="auto"/>
          <w:kern w:val="0"/>
          <w:sz w:val="32"/>
          <w:szCs w:val="32"/>
          <w:highlight w:val="none"/>
        </w:rPr>
        <w:t>设监事会，</w:t>
      </w:r>
      <w:r>
        <w:rPr>
          <w:rFonts w:hint="eastAsia" w:ascii="仿宋_GB2312" w:hAnsi="Calibri" w:eastAsia="仿宋_GB2312"/>
          <w:color w:val="auto"/>
          <w:sz w:val="32"/>
          <w:szCs w:val="32"/>
          <w:highlight w:val="none"/>
        </w:rPr>
        <w:t>由本行董事会审计委员会</w:t>
      </w:r>
      <w:r>
        <w:rPr>
          <w:rFonts w:hint="eastAsia" w:ascii="仿宋_GB2312" w:hAnsi="黑体" w:eastAsia="仿宋_GB2312"/>
          <w:color w:val="auto"/>
          <w:sz w:val="32"/>
          <w:szCs w:val="32"/>
          <w:highlight w:val="none"/>
        </w:rPr>
        <w:t>依法</w:t>
      </w:r>
      <w:r>
        <w:rPr>
          <w:rFonts w:hint="eastAsia" w:ascii="仿宋_GB2312" w:hAnsi="Calibri" w:eastAsia="仿宋_GB2312"/>
          <w:color w:val="auto"/>
          <w:sz w:val="32"/>
          <w:szCs w:val="32"/>
          <w:highlight w:val="none"/>
        </w:rPr>
        <w:t>行使《公司法》</w:t>
      </w:r>
      <w:r>
        <w:rPr>
          <w:rFonts w:hint="eastAsia" w:ascii="仿宋_GB2312" w:hAnsi="仿宋_GB2312" w:eastAsia="仿宋_GB2312" w:cs="仿宋_GB2312"/>
          <w:color w:val="auto"/>
          <w:sz w:val="32"/>
          <w:szCs w:val="32"/>
          <w:highlight w:val="none"/>
        </w:rPr>
        <w:t>及其他法律、监管法规规定的监事会的职权</w:t>
      </w:r>
      <w:r>
        <w:rPr>
          <w:rFonts w:hint="eastAsia" w:ascii="仿宋_GB2312" w:hAnsi="仿宋_GB2312" w:eastAsia="仿宋_GB2312"/>
          <w:color w:val="auto"/>
          <w:kern w:val="0"/>
          <w:sz w:val="32"/>
          <w:szCs w:val="32"/>
          <w:highlight w:val="none"/>
          <w:lang w:val="en-US" w:eastAsia="zh-CN"/>
        </w:rPr>
        <w:t>。</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kern w:val="0"/>
          <w:sz w:val="32"/>
          <w:szCs w:val="32"/>
          <w:highlight w:val="none"/>
        </w:rPr>
      </w:pPr>
      <w:r>
        <w:rPr>
          <w:rFonts w:hint="eastAsia" w:ascii="仿宋_GB2312" w:hAnsi="仿宋_GB2312" w:eastAsia="仿宋_GB2312"/>
          <w:color w:val="auto"/>
          <w:kern w:val="0"/>
          <w:sz w:val="32"/>
          <w:szCs w:val="32"/>
          <w:highlight w:val="none"/>
        </w:rPr>
        <w:t>本行设行长1名，副行长</w:t>
      </w:r>
      <w:r>
        <w:rPr>
          <w:rFonts w:hint="eastAsia" w:ascii="仿宋_GB2312" w:hAnsi="仿宋_GB2312" w:eastAsia="仿宋_GB2312"/>
          <w:color w:val="auto"/>
          <w:kern w:val="0"/>
          <w:sz w:val="32"/>
          <w:szCs w:val="32"/>
          <w:highlight w:val="none"/>
          <w:lang w:val="en-US" w:eastAsia="zh-CN"/>
        </w:rPr>
        <w:t>3</w:t>
      </w:r>
      <w:r>
        <w:rPr>
          <w:rFonts w:hint="eastAsia" w:ascii="仿宋_GB2312" w:hAnsi="仿宋_GB2312" w:eastAsia="仿宋_GB2312"/>
          <w:color w:val="auto"/>
          <w:kern w:val="0"/>
          <w:sz w:val="32"/>
          <w:szCs w:val="32"/>
          <w:highlight w:val="none"/>
        </w:rPr>
        <w:t>名。行长由董事长提名，副行长由行长提名，经监管部门资格审查后由董事会聘任。</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olor w:val="auto"/>
          <w:kern w:val="0"/>
          <w:sz w:val="32"/>
          <w:szCs w:val="32"/>
          <w:highlight w:val="none"/>
        </w:rPr>
      </w:pPr>
      <w:r>
        <w:rPr>
          <w:rFonts w:hint="eastAsia" w:ascii="仿宋_GB2312" w:hAnsi="仿宋_GB2312" w:eastAsia="仿宋_GB2312"/>
          <w:color w:val="auto"/>
          <w:kern w:val="0"/>
          <w:sz w:val="32"/>
          <w:szCs w:val="32"/>
          <w:highlight w:val="none"/>
        </w:rPr>
        <w:t>本行设有</w:t>
      </w:r>
      <w:r>
        <w:rPr>
          <w:rFonts w:hint="eastAsia" w:ascii="仿宋_GB2312" w:hAnsi="仿宋_GB2312" w:eastAsia="仿宋_GB2312"/>
          <w:color w:val="auto"/>
          <w:kern w:val="0"/>
          <w:sz w:val="32"/>
          <w:szCs w:val="32"/>
          <w:highlight w:val="none"/>
          <w:lang w:val="en-US" w:eastAsia="zh-CN"/>
        </w:rPr>
        <w:t>业务发展部（</w:t>
      </w:r>
      <w:r>
        <w:rPr>
          <w:rFonts w:hint="eastAsia" w:ascii="仿宋_GB2312" w:hAnsi="仿宋_GB2312" w:eastAsia="仿宋_GB2312"/>
          <w:color w:val="auto"/>
          <w:kern w:val="0"/>
          <w:sz w:val="32"/>
          <w:szCs w:val="32"/>
          <w:highlight w:val="none"/>
        </w:rPr>
        <w:t>普惠金融部</w:t>
      </w:r>
      <w:r>
        <w:rPr>
          <w:rFonts w:hint="eastAsia" w:ascii="仿宋_GB2312" w:hAnsi="仿宋_GB2312" w:eastAsia="仿宋_GB2312"/>
          <w:color w:val="auto"/>
          <w:kern w:val="0"/>
          <w:sz w:val="32"/>
          <w:szCs w:val="32"/>
          <w:highlight w:val="none"/>
          <w:lang w:eastAsia="zh-CN"/>
        </w:rPr>
        <w:t>）</w:t>
      </w:r>
      <w:r>
        <w:rPr>
          <w:rFonts w:hint="eastAsia" w:ascii="仿宋_GB2312" w:hAnsi="仿宋_GB2312" w:eastAsia="仿宋_GB2312"/>
          <w:color w:val="auto"/>
          <w:kern w:val="0"/>
          <w:sz w:val="32"/>
          <w:szCs w:val="32"/>
          <w:highlight w:val="none"/>
        </w:rPr>
        <w:t>、</w:t>
      </w:r>
      <w:r>
        <w:rPr>
          <w:rFonts w:hint="eastAsia" w:ascii="仿宋_GB2312" w:hAnsi="仿宋_GB2312" w:eastAsia="仿宋_GB2312"/>
          <w:color w:val="auto"/>
          <w:kern w:val="0"/>
          <w:sz w:val="32"/>
          <w:szCs w:val="32"/>
          <w:highlight w:val="none"/>
          <w:lang w:val="en-US" w:eastAsia="zh-CN"/>
        </w:rPr>
        <w:t>公司部一部、公司部二部、</w:t>
      </w:r>
      <w:r>
        <w:rPr>
          <w:rFonts w:hint="eastAsia" w:ascii="仿宋_GB2312" w:hAnsi="仿宋_GB2312" w:eastAsia="仿宋_GB2312"/>
          <w:color w:val="auto"/>
          <w:kern w:val="0"/>
          <w:sz w:val="32"/>
          <w:szCs w:val="32"/>
          <w:highlight w:val="none"/>
        </w:rPr>
        <w:t>金融市场部、</w:t>
      </w:r>
      <w:r>
        <w:rPr>
          <w:rFonts w:hint="eastAsia" w:ascii="仿宋_GB2312" w:hAnsi="仿宋_GB2312" w:eastAsia="仿宋_GB2312"/>
          <w:color w:val="auto"/>
          <w:kern w:val="0"/>
          <w:sz w:val="32"/>
          <w:szCs w:val="32"/>
          <w:highlight w:val="none"/>
          <w:lang w:val="en-US" w:eastAsia="zh-CN"/>
        </w:rPr>
        <w:t>授信评审部、</w:t>
      </w:r>
      <w:r>
        <w:rPr>
          <w:rFonts w:hint="eastAsia" w:ascii="仿宋_GB2312" w:hAnsi="仿宋_GB2312" w:eastAsia="仿宋_GB2312"/>
          <w:color w:val="auto"/>
          <w:kern w:val="0"/>
          <w:sz w:val="32"/>
          <w:szCs w:val="32"/>
          <w:highlight w:val="none"/>
          <w:lang w:eastAsia="zh-CN"/>
        </w:rPr>
        <w:t>信贷管理部（</w:t>
      </w:r>
      <w:r>
        <w:rPr>
          <w:rFonts w:hint="eastAsia" w:ascii="仿宋_GB2312" w:hAnsi="仿宋_GB2312" w:eastAsia="仿宋_GB2312"/>
          <w:color w:val="auto"/>
          <w:kern w:val="0"/>
          <w:sz w:val="32"/>
          <w:szCs w:val="32"/>
          <w:highlight w:val="none"/>
          <w:lang w:val="en-US" w:eastAsia="zh-CN"/>
        </w:rPr>
        <w:t>下设</w:t>
      </w:r>
      <w:r>
        <w:rPr>
          <w:rFonts w:hint="eastAsia" w:ascii="仿宋_GB2312" w:hAnsi="仿宋_GB2312" w:eastAsia="仿宋_GB2312"/>
          <w:color w:val="auto"/>
          <w:kern w:val="0"/>
          <w:sz w:val="32"/>
          <w:szCs w:val="32"/>
          <w:highlight w:val="none"/>
          <w:lang w:eastAsia="zh-CN"/>
        </w:rPr>
        <w:t>用信审批中心、贷后管理中心）、</w:t>
      </w:r>
      <w:r>
        <w:rPr>
          <w:rFonts w:hint="eastAsia" w:ascii="仿宋_GB2312" w:hAnsi="仿宋_GB2312" w:eastAsia="仿宋_GB2312"/>
          <w:color w:val="auto"/>
          <w:kern w:val="0"/>
          <w:sz w:val="32"/>
          <w:szCs w:val="32"/>
          <w:highlight w:val="none"/>
        </w:rPr>
        <w:t>计划财务部</w:t>
      </w:r>
      <w:r>
        <w:rPr>
          <w:rFonts w:hint="eastAsia" w:ascii="仿宋_GB2312" w:hAnsi="仿宋_GB2312" w:eastAsia="仿宋_GB2312"/>
          <w:color w:val="auto"/>
          <w:kern w:val="0"/>
          <w:sz w:val="32"/>
          <w:szCs w:val="32"/>
          <w:highlight w:val="none"/>
          <w:lang w:eastAsia="zh-CN"/>
        </w:rPr>
        <w:t>（</w:t>
      </w:r>
      <w:r>
        <w:rPr>
          <w:rFonts w:hint="eastAsia" w:ascii="仿宋_GB2312" w:hAnsi="仿宋_GB2312" w:eastAsia="仿宋_GB2312"/>
          <w:color w:val="auto"/>
          <w:kern w:val="0"/>
          <w:sz w:val="32"/>
          <w:szCs w:val="32"/>
          <w:highlight w:val="none"/>
          <w:lang w:val="en-US" w:eastAsia="zh-CN"/>
        </w:rPr>
        <w:t>下设</w:t>
      </w:r>
      <w:r>
        <w:rPr>
          <w:rFonts w:hint="eastAsia" w:ascii="仿宋_GB2312" w:hAnsi="仿宋_GB2312" w:eastAsia="仿宋_GB2312"/>
          <w:color w:val="auto"/>
          <w:kern w:val="0"/>
          <w:sz w:val="32"/>
          <w:szCs w:val="32"/>
          <w:highlight w:val="none"/>
          <w:lang w:eastAsia="zh-CN"/>
        </w:rPr>
        <w:t>统计中心）</w:t>
      </w:r>
      <w:r>
        <w:rPr>
          <w:rFonts w:hint="eastAsia" w:ascii="仿宋_GB2312" w:hAnsi="仿宋_GB2312" w:eastAsia="仿宋_GB2312"/>
          <w:color w:val="auto"/>
          <w:kern w:val="0"/>
          <w:sz w:val="32"/>
          <w:szCs w:val="32"/>
          <w:highlight w:val="none"/>
        </w:rPr>
        <w:t>、运营管理部（</w:t>
      </w:r>
      <w:r>
        <w:rPr>
          <w:rFonts w:hint="eastAsia" w:ascii="仿宋_GB2312" w:hAnsi="仿宋_GB2312" w:eastAsia="仿宋_GB2312"/>
          <w:color w:val="auto"/>
          <w:kern w:val="0"/>
          <w:sz w:val="32"/>
          <w:szCs w:val="32"/>
          <w:highlight w:val="none"/>
          <w:lang w:val="en-US" w:eastAsia="zh-CN"/>
        </w:rPr>
        <w:t>下设检查辅导中心、账户管理中心、远程</w:t>
      </w:r>
      <w:r>
        <w:rPr>
          <w:rFonts w:hint="eastAsia" w:ascii="仿宋_GB2312" w:hAnsi="仿宋_GB2312" w:eastAsia="仿宋_GB2312"/>
          <w:color w:val="auto"/>
          <w:kern w:val="0"/>
          <w:sz w:val="32"/>
          <w:szCs w:val="32"/>
          <w:highlight w:val="none"/>
        </w:rPr>
        <w:t>授权中心、清算中心、现金管理中心、风险监督中心、反洗钱中心、标杆辅导中心）、办公室、科技信息部、</w:t>
      </w:r>
      <w:r>
        <w:rPr>
          <w:rFonts w:hint="eastAsia" w:ascii="仿宋_GB2312" w:hAnsi="仿宋_GB2312" w:eastAsia="仿宋_GB2312"/>
          <w:color w:val="auto"/>
          <w:kern w:val="0"/>
          <w:sz w:val="32"/>
          <w:szCs w:val="32"/>
          <w:highlight w:val="none"/>
          <w:lang w:val="en-US" w:eastAsia="zh-CN"/>
        </w:rPr>
        <w:t>党委组织部（</w:t>
      </w:r>
      <w:r>
        <w:rPr>
          <w:rFonts w:hint="eastAsia" w:ascii="仿宋_GB2312" w:hAnsi="仿宋_GB2312" w:eastAsia="仿宋_GB2312"/>
          <w:color w:val="auto"/>
          <w:kern w:val="0"/>
          <w:sz w:val="32"/>
          <w:szCs w:val="32"/>
          <w:highlight w:val="none"/>
        </w:rPr>
        <w:t>人力资源部</w:t>
      </w:r>
      <w:r>
        <w:rPr>
          <w:rFonts w:hint="eastAsia" w:ascii="仿宋_GB2312" w:hAnsi="仿宋_GB2312" w:eastAsia="仿宋_GB2312"/>
          <w:color w:val="auto"/>
          <w:kern w:val="0"/>
          <w:sz w:val="32"/>
          <w:szCs w:val="32"/>
          <w:highlight w:val="none"/>
          <w:lang w:eastAsia="zh-CN"/>
        </w:rPr>
        <w:t>）（</w:t>
      </w:r>
      <w:r>
        <w:rPr>
          <w:rFonts w:hint="eastAsia" w:ascii="仿宋_GB2312" w:hAnsi="仿宋_GB2312" w:eastAsia="仿宋_GB2312"/>
          <w:color w:val="auto"/>
          <w:kern w:val="0"/>
          <w:sz w:val="32"/>
          <w:szCs w:val="32"/>
          <w:highlight w:val="none"/>
          <w:lang w:val="en-US" w:eastAsia="zh-CN"/>
        </w:rPr>
        <w:t>下设</w:t>
      </w:r>
      <w:r>
        <w:rPr>
          <w:rFonts w:hint="eastAsia" w:ascii="仿宋_GB2312" w:hAnsi="仿宋_GB2312" w:eastAsia="仿宋_GB2312"/>
          <w:color w:val="auto"/>
          <w:kern w:val="0"/>
          <w:sz w:val="32"/>
          <w:szCs w:val="32"/>
          <w:highlight w:val="none"/>
          <w:lang w:eastAsia="zh-CN"/>
        </w:rPr>
        <w:t>绩效考评中心）</w:t>
      </w:r>
      <w:r>
        <w:rPr>
          <w:rFonts w:hint="eastAsia" w:ascii="仿宋_GB2312" w:hAnsi="仿宋_GB2312" w:eastAsia="仿宋_GB2312"/>
          <w:color w:val="auto"/>
          <w:kern w:val="0"/>
          <w:sz w:val="32"/>
          <w:szCs w:val="32"/>
          <w:highlight w:val="none"/>
        </w:rPr>
        <w:t>、保卫部（</w:t>
      </w:r>
      <w:r>
        <w:rPr>
          <w:rFonts w:hint="eastAsia" w:ascii="仿宋_GB2312" w:hAnsi="仿宋_GB2312" w:eastAsia="仿宋_GB2312"/>
          <w:color w:val="auto"/>
          <w:kern w:val="0"/>
          <w:sz w:val="32"/>
          <w:szCs w:val="32"/>
          <w:highlight w:val="none"/>
          <w:lang w:val="en-US" w:eastAsia="zh-CN"/>
        </w:rPr>
        <w:t>下设</w:t>
      </w:r>
      <w:r>
        <w:rPr>
          <w:rFonts w:hint="eastAsia" w:ascii="仿宋_GB2312" w:hAnsi="仿宋_GB2312" w:eastAsia="仿宋_GB2312"/>
          <w:color w:val="auto"/>
          <w:kern w:val="0"/>
          <w:sz w:val="32"/>
          <w:szCs w:val="32"/>
          <w:highlight w:val="none"/>
        </w:rPr>
        <w:t>监控中心）、</w:t>
      </w:r>
      <w:r>
        <w:rPr>
          <w:rFonts w:hint="eastAsia" w:ascii="仿宋_GB2312" w:hAnsi="仿宋_GB2312" w:eastAsia="仿宋_GB2312"/>
          <w:color w:val="auto"/>
          <w:kern w:val="0"/>
          <w:sz w:val="32"/>
          <w:szCs w:val="32"/>
          <w:highlight w:val="none"/>
          <w:lang w:eastAsia="zh-CN"/>
        </w:rPr>
        <w:t>风险管理部（</w:t>
      </w:r>
      <w:r>
        <w:rPr>
          <w:rFonts w:hint="eastAsia" w:ascii="仿宋_GB2312" w:hAnsi="仿宋_GB2312" w:eastAsia="仿宋_GB2312"/>
          <w:color w:val="auto"/>
          <w:kern w:val="0"/>
          <w:sz w:val="32"/>
          <w:szCs w:val="32"/>
          <w:highlight w:val="none"/>
          <w:lang w:val="en-US" w:eastAsia="zh-CN"/>
        </w:rPr>
        <w:t>下设清非中心）、</w:t>
      </w:r>
      <w:r>
        <w:rPr>
          <w:rFonts w:hint="eastAsia" w:ascii="仿宋_GB2312" w:hAnsi="仿宋_GB2312" w:eastAsia="仿宋_GB2312"/>
          <w:color w:val="auto"/>
          <w:kern w:val="0"/>
          <w:sz w:val="32"/>
          <w:szCs w:val="32"/>
          <w:highlight w:val="none"/>
        </w:rPr>
        <w:t>合规</w:t>
      </w:r>
      <w:r>
        <w:rPr>
          <w:rFonts w:hint="eastAsia" w:ascii="仿宋_GB2312" w:hAnsi="仿宋_GB2312" w:eastAsia="仿宋_GB2312"/>
          <w:color w:val="auto"/>
          <w:kern w:val="0"/>
          <w:sz w:val="32"/>
          <w:szCs w:val="32"/>
          <w:highlight w:val="none"/>
          <w:lang w:eastAsia="zh-CN"/>
        </w:rPr>
        <w:t>管理</w:t>
      </w:r>
      <w:r>
        <w:rPr>
          <w:rFonts w:hint="eastAsia" w:ascii="仿宋_GB2312" w:hAnsi="仿宋_GB2312" w:eastAsia="仿宋_GB2312"/>
          <w:color w:val="auto"/>
          <w:kern w:val="0"/>
          <w:sz w:val="32"/>
          <w:szCs w:val="32"/>
          <w:highlight w:val="none"/>
        </w:rPr>
        <w:t>部、审计部共1</w:t>
      </w:r>
      <w:r>
        <w:rPr>
          <w:rFonts w:hint="eastAsia" w:ascii="仿宋_GB2312" w:hAnsi="仿宋_GB2312" w:eastAsia="仿宋_GB2312"/>
          <w:color w:val="auto"/>
          <w:kern w:val="0"/>
          <w:sz w:val="32"/>
          <w:szCs w:val="32"/>
          <w:highlight w:val="none"/>
          <w:lang w:val="en-US" w:eastAsia="zh-CN"/>
        </w:rPr>
        <w:t>5</w:t>
      </w:r>
      <w:r>
        <w:rPr>
          <w:rFonts w:hint="eastAsia" w:ascii="仿宋_GB2312" w:hAnsi="仿宋_GB2312" w:eastAsia="仿宋_GB2312"/>
          <w:color w:val="auto"/>
          <w:kern w:val="0"/>
          <w:sz w:val="32"/>
          <w:szCs w:val="32"/>
          <w:highlight w:val="none"/>
        </w:rPr>
        <w:t>个职能部门，本行下辖1个营业部、30个支行共计31个营业网点。</w:t>
      </w:r>
    </w:p>
    <w:p>
      <w:pPr>
        <w:pStyle w:val="14"/>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黑体" w:hAnsi="黑体" w:eastAsia="黑体"/>
          <w:color w:val="auto"/>
          <w:kern w:val="0"/>
          <w:sz w:val="32"/>
          <w:szCs w:val="32"/>
          <w:highlight w:val="none"/>
        </w:rPr>
      </w:pPr>
      <w:r>
        <w:rPr>
          <w:rFonts w:hint="eastAsia" w:ascii="黑体" w:hAnsi="黑体" w:eastAsia="黑体"/>
          <w:color w:val="auto"/>
          <w:kern w:val="0"/>
          <w:sz w:val="32"/>
          <w:szCs w:val="32"/>
          <w:highlight w:val="none"/>
        </w:rPr>
        <w:t>三、本行主营业务范围</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Times New Roman"/>
          <w:color w:val="auto"/>
          <w:kern w:val="0"/>
          <w:sz w:val="32"/>
          <w:szCs w:val="32"/>
          <w:highlight w:val="none"/>
        </w:rPr>
      </w:pPr>
      <w:bookmarkStart w:id="4" w:name="_Toc408991529"/>
      <w:bookmarkStart w:id="5" w:name="_Toc408991732"/>
      <w:bookmarkStart w:id="6" w:name="_Toc15354"/>
      <w:r>
        <w:rPr>
          <w:rFonts w:hint="eastAsia" w:ascii="仿宋_GB2312" w:hAnsi="仿宋_GB2312" w:eastAsia="仿宋_GB2312" w:cs="Times New Roman"/>
          <w:color w:val="auto"/>
          <w:kern w:val="0"/>
          <w:sz w:val="32"/>
          <w:szCs w:val="32"/>
          <w:highlight w:val="none"/>
        </w:rPr>
        <w:t>经营范围：（一）吸收公众存款；（二）发放短期、中期和长期贷款；（三）办理国内结算；（四）办理票据承兑与贴现；（五）代理发行、代理兑付、承销政府债券；（六）买卖政府债券、金融债券；（七）从事同业拆借；（八）从事借记卡业务；（九）代理收付款项及代理保险业务；（十）提供保管箱服务；（十一）经中国银行业监督管理机构批准的其他业务。</w:t>
      </w:r>
    </w:p>
    <w:p>
      <w:pPr>
        <w:pStyle w:val="24"/>
        <w:keepNext w:val="0"/>
        <w:keepLines w:val="0"/>
        <w:pageBreakBefore w:val="0"/>
        <w:kinsoku/>
        <w:wordWrap/>
        <w:overflowPunct/>
        <w:topLinePunct w:val="0"/>
        <w:autoSpaceDE/>
        <w:autoSpaceDN/>
        <w:bidi w:val="0"/>
        <w:adjustRightInd/>
        <w:snapToGrid/>
        <w:spacing w:line="560" w:lineRule="exact"/>
        <w:textAlignment w:val="auto"/>
        <w:rPr>
          <w:rFonts w:ascii="仿宋_GB2312" w:eastAsia="仿宋_GB2312"/>
          <w:color w:val="auto"/>
          <w:kern w:val="0"/>
          <w:sz w:val="32"/>
          <w:szCs w:val="32"/>
          <w:highlight w:val="none"/>
        </w:rPr>
      </w:pPr>
      <w:r>
        <w:rPr>
          <w:rFonts w:hint="eastAsia" w:ascii="仿宋_GB2312" w:eastAsia="仿宋_GB2312"/>
          <w:color w:val="auto"/>
          <w:kern w:val="0"/>
          <w:sz w:val="32"/>
          <w:szCs w:val="32"/>
          <w:highlight w:val="none"/>
        </w:rPr>
        <w:t>第三章　经营概况</w:t>
      </w:r>
      <w:bookmarkEnd w:id="4"/>
      <w:bookmarkEnd w:id="5"/>
      <w:bookmarkEnd w:id="6"/>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kern w:val="2"/>
          <w:sz w:val="32"/>
          <w:szCs w:val="32"/>
          <w:highlight w:val="none"/>
          <w:lang w:val="en-US" w:eastAsia="zh-CN" w:bidi="ar-SA"/>
        </w:rPr>
        <w:t>202</w:t>
      </w:r>
      <w:r>
        <w:rPr>
          <w:rFonts w:hint="eastAsia" w:eastAsia="仿宋_GB2312" w:cs="Times New Roman"/>
          <w:color w:val="auto"/>
          <w:kern w:val="2"/>
          <w:sz w:val="32"/>
          <w:szCs w:val="32"/>
          <w:highlight w:val="none"/>
          <w:lang w:val="en-US" w:eastAsia="zh-CN" w:bidi="ar-SA"/>
        </w:rPr>
        <w:t>6</w:t>
      </w:r>
      <w:r>
        <w:rPr>
          <w:rFonts w:hint="eastAsia" w:ascii="Times New Roman" w:hAnsi="Times New Roman" w:eastAsia="仿宋_GB2312" w:cs="Times New Roman"/>
          <w:color w:val="auto"/>
          <w:kern w:val="2"/>
          <w:sz w:val="32"/>
          <w:szCs w:val="32"/>
          <w:highlight w:val="none"/>
          <w:lang w:val="en-US" w:eastAsia="zh-CN" w:bidi="ar-SA"/>
        </w:rPr>
        <w:t>年上半年，东海农商银行围绕年初制定的各项工作目标，稳步推进各项工作</w:t>
      </w:r>
      <w:r>
        <w:rPr>
          <w:rFonts w:hint="eastAsia" w:eastAsia="仿宋_GB2312" w:cs="Times New Roman"/>
          <w:color w:val="auto"/>
          <w:kern w:val="2"/>
          <w:sz w:val="32"/>
          <w:szCs w:val="32"/>
          <w:highlight w:val="none"/>
          <w:lang w:val="en-US" w:eastAsia="zh-CN" w:bidi="ar-SA"/>
        </w:rPr>
        <w:t>，</w:t>
      </w:r>
      <w:r>
        <w:rPr>
          <w:rFonts w:hint="eastAsia" w:ascii="Times New Roman" w:hAnsi="Times New Roman" w:eastAsia="仿宋_GB2312" w:cs="Times New Roman"/>
          <w:color w:val="auto"/>
          <w:sz w:val="32"/>
          <w:szCs w:val="32"/>
          <w:highlight w:val="none"/>
          <w:lang w:val="en-US" w:eastAsia="zh-CN"/>
        </w:rPr>
        <w:t>在经济环境整体下行的情况下，东海农商银行实现稳健发展。</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Times New Roman" w:hAnsi="Times New Roman" w:eastAsia="仿宋_GB2312" w:cs="Times New Roman"/>
          <w:b w:val="0"/>
          <w:bCs w:val="0"/>
          <w:color w:val="auto"/>
          <w:kern w:val="2"/>
          <w:sz w:val="32"/>
          <w:szCs w:val="32"/>
          <w:highlight w:val="none"/>
          <w:lang w:val="zh-CN" w:eastAsia="zh-CN" w:bidi="ar-SA"/>
        </w:rPr>
      </w:pPr>
      <w:bookmarkStart w:id="7" w:name="_Toc408991733"/>
      <w:bookmarkStart w:id="8" w:name="_Toc26520"/>
      <w:bookmarkStart w:id="9" w:name="_Toc408991530"/>
      <w:r>
        <w:rPr>
          <w:rFonts w:hint="eastAsia" w:ascii="楷体_GB2312" w:hAnsi="仿宋_GB2312" w:eastAsia="楷体_GB2312" w:cs="仿宋_GB2312"/>
          <w:color w:val="auto"/>
          <w:sz w:val="32"/>
          <w:szCs w:val="32"/>
          <w:highlight w:val="none"/>
        </w:rPr>
        <w:t>（一）组织资金</w:t>
      </w:r>
      <w:r>
        <w:rPr>
          <w:rFonts w:hint="eastAsia" w:ascii="楷体_GB2312" w:hAnsi="仿宋_GB2312" w:eastAsia="楷体_GB2312" w:cs="仿宋_GB2312"/>
          <w:color w:val="auto"/>
          <w:sz w:val="32"/>
          <w:szCs w:val="32"/>
          <w:highlight w:val="none"/>
          <w:lang w:eastAsia="zh-CN"/>
        </w:rPr>
        <w:t>稳步</w:t>
      </w:r>
      <w:r>
        <w:rPr>
          <w:rFonts w:hint="eastAsia" w:ascii="楷体_GB2312" w:hAnsi="仿宋_GB2312" w:eastAsia="楷体_GB2312" w:cs="仿宋_GB2312"/>
          <w:color w:val="auto"/>
          <w:sz w:val="32"/>
          <w:szCs w:val="32"/>
          <w:highlight w:val="none"/>
        </w:rPr>
        <w:t>增长。</w:t>
      </w:r>
      <w:r>
        <w:rPr>
          <w:rFonts w:hint="eastAsia" w:ascii="Times New Roman" w:hAnsi="Times New Roman" w:eastAsia="仿宋_GB2312" w:cs="Times New Roman"/>
          <w:b w:val="0"/>
          <w:bCs w:val="0"/>
          <w:color w:val="auto"/>
          <w:kern w:val="2"/>
          <w:sz w:val="32"/>
          <w:szCs w:val="32"/>
          <w:highlight w:val="none"/>
          <w:lang w:val="zh-CN" w:eastAsia="zh-CN" w:bidi="ar-SA"/>
        </w:rPr>
        <w:t>至202</w:t>
      </w:r>
      <w:r>
        <w:rPr>
          <w:rFonts w:hint="eastAsia" w:ascii="Times New Roman" w:hAnsi="Times New Roman" w:eastAsia="仿宋_GB2312" w:cs="Times New Roman"/>
          <w:b w:val="0"/>
          <w:bCs w:val="0"/>
          <w:color w:val="auto"/>
          <w:kern w:val="2"/>
          <w:sz w:val="32"/>
          <w:szCs w:val="32"/>
          <w:highlight w:val="none"/>
          <w:lang w:val="en-US" w:eastAsia="zh-CN" w:bidi="ar-SA"/>
        </w:rPr>
        <w:t>6</w:t>
      </w:r>
      <w:r>
        <w:rPr>
          <w:rFonts w:hint="eastAsia" w:ascii="Times New Roman" w:hAnsi="Times New Roman" w:eastAsia="仿宋_GB2312" w:cs="Times New Roman"/>
          <w:b w:val="0"/>
          <w:bCs w:val="0"/>
          <w:color w:val="auto"/>
          <w:kern w:val="2"/>
          <w:sz w:val="32"/>
          <w:szCs w:val="32"/>
          <w:highlight w:val="none"/>
          <w:lang w:val="zh-CN" w:eastAsia="zh-CN" w:bidi="ar-SA"/>
        </w:rPr>
        <w:t>年</w:t>
      </w:r>
      <w:r>
        <w:rPr>
          <w:rFonts w:hint="eastAsia" w:ascii="Times New Roman" w:hAnsi="Times New Roman" w:eastAsia="仿宋_GB2312" w:cs="Times New Roman"/>
          <w:b w:val="0"/>
          <w:bCs w:val="0"/>
          <w:color w:val="auto"/>
          <w:kern w:val="2"/>
          <w:sz w:val="32"/>
          <w:szCs w:val="32"/>
          <w:highlight w:val="none"/>
          <w:lang w:val="en-US" w:eastAsia="zh-CN" w:bidi="ar-SA"/>
        </w:rPr>
        <w:t>6月</w:t>
      </w:r>
      <w:r>
        <w:rPr>
          <w:rFonts w:hint="eastAsia" w:ascii="Times New Roman" w:hAnsi="Times New Roman" w:eastAsia="仿宋_GB2312" w:cs="Times New Roman"/>
          <w:b w:val="0"/>
          <w:bCs w:val="0"/>
          <w:color w:val="auto"/>
          <w:kern w:val="2"/>
          <w:sz w:val="32"/>
          <w:szCs w:val="32"/>
          <w:highlight w:val="none"/>
          <w:lang w:val="zh-CN" w:eastAsia="zh-CN" w:bidi="ar-SA"/>
        </w:rPr>
        <w:t>末，全行各项存款余额288.57亿元，较年初上升15.94亿元，增幅</w:t>
      </w:r>
      <w:r>
        <w:rPr>
          <w:rFonts w:hint="eastAsia" w:ascii="Times New Roman" w:hAnsi="Times New Roman" w:eastAsia="仿宋_GB2312" w:cs="Times New Roman"/>
          <w:b w:val="0"/>
          <w:bCs w:val="0"/>
          <w:color w:val="auto"/>
          <w:kern w:val="2"/>
          <w:sz w:val="32"/>
          <w:szCs w:val="32"/>
          <w:highlight w:val="none"/>
          <w:lang w:val="en-US" w:eastAsia="zh-CN" w:bidi="ar-SA"/>
        </w:rPr>
        <w:t>为</w:t>
      </w:r>
      <w:r>
        <w:rPr>
          <w:rFonts w:hint="eastAsia" w:ascii="Times New Roman" w:hAnsi="Times New Roman" w:eastAsia="仿宋_GB2312" w:cs="Times New Roman"/>
          <w:b w:val="0"/>
          <w:bCs w:val="0"/>
          <w:color w:val="auto"/>
          <w:kern w:val="2"/>
          <w:sz w:val="32"/>
          <w:szCs w:val="32"/>
          <w:highlight w:val="none"/>
          <w:lang w:val="zh-CN" w:eastAsia="zh-CN" w:bidi="ar-SA"/>
        </w:rPr>
        <w:t>5.85%。</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楷体_GB2312" w:hAnsi="仿宋_GB2312" w:eastAsia="楷体_GB2312" w:cs="仿宋_GB2312"/>
          <w:color w:val="auto"/>
          <w:sz w:val="32"/>
          <w:szCs w:val="32"/>
          <w:highlight w:val="none"/>
        </w:rPr>
        <w:t>（二）信贷投放</w:t>
      </w:r>
      <w:r>
        <w:rPr>
          <w:rFonts w:hint="eastAsia" w:ascii="楷体_GB2312" w:hAnsi="仿宋_GB2312" w:eastAsia="楷体_GB2312" w:cs="仿宋_GB2312"/>
          <w:color w:val="auto"/>
          <w:sz w:val="32"/>
          <w:szCs w:val="32"/>
          <w:highlight w:val="none"/>
          <w:lang w:val="en-US" w:eastAsia="zh-CN"/>
        </w:rPr>
        <w:t>稳健有序</w:t>
      </w:r>
      <w:r>
        <w:rPr>
          <w:rFonts w:hint="eastAsia" w:ascii="楷体_GB2312" w:hAnsi="仿宋_GB2312" w:eastAsia="楷体_GB2312" w:cs="仿宋_GB2312"/>
          <w:color w:val="auto"/>
          <w:sz w:val="32"/>
          <w:szCs w:val="32"/>
          <w:highlight w:val="none"/>
        </w:rPr>
        <w:t>。</w:t>
      </w:r>
      <w:r>
        <w:rPr>
          <w:rFonts w:hint="eastAsia" w:ascii="Times New Roman" w:hAnsi="Times New Roman" w:eastAsia="仿宋_GB2312" w:cs="Times New Roman"/>
          <w:b w:val="0"/>
          <w:bCs w:val="0"/>
          <w:color w:val="auto"/>
          <w:kern w:val="2"/>
          <w:sz w:val="32"/>
          <w:szCs w:val="32"/>
          <w:highlight w:val="none"/>
          <w:lang w:val="zh-CN" w:eastAsia="zh-CN" w:bidi="ar-SA"/>
        </w:rPr>
        <w:t>至202</w:t>
      </w:r>
      <w:r>
        <w:rPr>
          <w:rFonts w:hint="eastAsia" w:ascii="Times New Roman" w:hAnsi="Times New Roman" w:eastAsia="仿宋_GB2312" w:cs="Times New Roman"/>
          <w:b w:val="0"/>
          <w:bCs w:val="0"/>
          <w:color w:val="auto"/>
          <w:kern w:val="2"/>
          <w:sz w:val="32"/>
          <w:szCs w:val="32"/>
          <w:highlight w:val="none"/>
          <w:lang w:val="en-US" w:eastAsia="zh-CN" w:bidi="ar-SA"/>
        </w:rPr>
        <w:t>6</w:t>
      </w:r>
      <w:r>
        <w:rPr>
          <w:rFonts w:hint="eastAsia" w:ascii="Times New Roman" w:hAnsi="Times New Roman" w:eastAsia="仿宋_GB2312" w:cs="Times New Roman"/>
          <w:b w:val="0"/>
          <w:bCs w:val="0"/>
          <w:color w:val="auto"/>
          <w:kern w:val="2"/>
          <w:sz w:val="32"/>
          <w:szCs w:val="32"/>
          <w:highlight w:val="none"/>
          <w:lang w:val="zh-CN" w:eastAsia="zh-CN" w:bidi="ar-SA"/>
        </w:rPr>
        <w:t>年</w:t>
      </w:r>
      <w:r>
        <w:rPr>
          <w:rFonts w:hint="eastAsia" w:ascii="Times New Roman" w:hAnsi="Times New Roman" w:eastAsia="仿宋_GB2312" w:cs="Times New Roman"/>
          <w:b w:val="0"/>
          <w:bCs w:val="0"/>
          <w:color w:val="auto"/>
          <w:kern w:val="2"/>
          <w:sz w:val="32"/>
          <w:szCs w:val="32"/>
          <w:highlight w:val="none"/>
          <w:lang w:val="en-US" w:eastAsia="zh-CN" w:bidi="ar-SA"/>
        </w:rPr>
        <w:t>6月</w:t>
      </w:r>
      <w:r>
        <w:rPr>
          <w:rFonts w:hint="eastAsia" w:ascii="Times New Roman" w:hAnsi="Times New Roman" w:eastAsia="仿宋_GB2312" w:cs="Times New Roman"/>
          <w:b w:val="0"/>
          <w:bCs w:val="0"/>
          <w:color w:val="auto"/>
          <w:kern w:val="2"/>
          <w:sz w:val="32"/>
          <w:szCs w:val="32"/>
          <w:highlight w:val="none"/>
          <w:lang w:val="zh-CN" w:eastAsia="zh-CN" w:bidi="ar-SA"/>
        </w:rPr>
        <w:t>末，各项贷款余额189.58亿元，较年初增加9.53亿元，增幅为5.29%。剔除贴现因素，实体贷款较年初增加10.32亿元，增幅为6.54%。</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楷体_GB2312" w:hAnsi="仿宋_GB2312" w:eastAsia="楷体_GB2312" w:cs="仿宋_GB2312"/>
          <w:color w:val="auto"/>
          <w:sz w:val="32"/>
          <w:szCs w:val="32"/>
          <w:highlight w:val="none"/>
        </w:rPr>
        <w:t>（三）</w:t>
      </w:r>
      <w:r>
        <w:rPr>
          <w:rFonts w:hint="eastAsia" w:ascii="楷体_GB2312" w:hAnsi="仿宋_GB2312" w:eastAsia="楷体_GB2312" w:cs="仿宋_GB2312"/>
          <w:color w:val="auto"/>
          <w:sz w:val="32"/>
          <w:szCs w:val="32"/>
          <w:highlight w:val="none"/>
          <w:lang w:val="en-US" w:eastAsia="zh-CN"/>
        </w:rPr>
        <w:t>不良贷款控制得当。</w:t>
      </w:r>
      <w:r>
        <w:rPr>
          <w:rFonts w:hint="eastAsia" w:ascii="Times New Roman" w:hAnsi="Times New Roman" w:eastAsia="仿宋_GB2312" w:cs="Times New Roman"/>
          <w:b w:val="0"/>
          <w:bCs w:val="0"/>
          <w:color w:val="auto"/>
          <w:kern w:val="2"/>
          <w:sz w:val="32"/>
          <w:szCs w:val="32"/>
          <w:highlight w:val="none"/>
          <w:lang w:val="zh-CN" w:eastAsia="zh-CN" w:bidi="ar-SA"/>
        </w:rPr>
        <w:t>至202</w:t>
      </w:r>
      <w:r>
        <w:rPr>
          <w:rFonts w:hint="eastAsia" w:ascii="Times New Roman" w:hAnsi="Times New Roman" w:eastAsia="仿宋_GB2312" w:cs="Times New Roman"/>
          <w:b w:val="0"/>
          <w:bCs w:val="0"/>
          <w:color w:val="auto"/>
          <w:kern w:val="2"/>
          <w:sz w:val="32"/>
          <w:szCs w:val="32"/>
          <w:highlight w:val="none"/>
          <w:lang w:val="en-US" w:eastAsia="zh-CN" w:bidi="ar-SA"/>
        </w:rPr>
        <w:t>6</w:t>
      </w:r>
      <w:r>
        <w:rPr>
          <w:rFonts w:hint="eastAsia" w:ascii="Times New Roman" w:hAnsi="Times New Roman" w:eastAsia="仿宋_GB2312" w:cs="Times New Roman"/>
          <w:b w:val="0"/>
          <w:bCs w:val="0"/>
          <w:color w:val="auto"/>
          <w:kern w:val="2"/>
          <w:sz w:val="32"/>
          <w:szCs w:val="32"/>
          <w:highlight w:val="none"/>
          <w:lang w:val="zh-CN" w:eastAsia="zh-CN" w:bidi="ar-SA"/>
        </w:rPr>
        <w:t>年</w:t>
      </w:r>
      <w:r>
        <w:rPr>
          <w:rFonts w:hint="eastAsia" w:ascii="Times New Roman" w:hAnsi="Times New Roman" w:eastAsia="仿宋_GB2312" w:cs="Times New Roman"/>
          <w:b w:val="0"/>
          <w:bCs w:val="0"/>
          <w:color w:val="auto"/>
          <w:kern w:val="2"/>
          <w:sz w:val="32"/>
          <w:szCs w:val="32"/>
          <w:highlight w:val="none"/>
          <w:lang w:val="en-US" w:eastAsia="zh-CN" w:bidi="ar-SA"/>
        </w:rPr>
        <w:t>6月</w:t>
      </w:r>
      <w:r>
        <w:rPr>
          <w:rFonts w:hint="eastAsia" w:ascii="Times New Roman" w:hAnsi="Times New Roman" w:eastAsia="仿宋_GB2312" w:cs="Times New Roman"/>
          <w:b w:val="0"/>
          <w:bCs w:val="0"/>
          <w:color w:val="auto"/>
          <w:kern w:val="2"/>
          <w:sz w:val="32"/>
          <w:szCs w:val="32"/>
          <w:highlight w:val="none"/>
          <w:lang w:val="zh-CN" w:eastAsia="zh-CN" w:bidi="ar-SA"/>
        </w:rPr>
        <w:t>末，我行无隐形不良贷款，不良贷款总额2.14亿元，较年初1.73亿元增加0.41万元，不良率1.13%，较年初0.96%上升0.17个百分点。</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楷体_GB2312" w:hAnsi="仿宋_GB2312" w:eastAsia="楷体_GB2312" w:cs="仿宋_GB2312"/>
          <w:color w:val="auto"/>
          <w:sz w:val="32"/>
          <w:szCs w:val="32"/>
          <w:highlight w:val="none"/>
          <w:lang w:val="en-US" w:eastAsia="zh-CN"/>
        </w:rPr>
        <w:t>（四）电子银行持续扩面</w:t>
      </w:r>
      <w:r>
        <w:rPr>
          <w:rFonts w:hint="eastAsia" w:ascii="楷体_GB2312" w:hAnsi="仿宋_GB2312" w:eastAsia="楷体_GB2312" w:cs="仿宋_GB2312"/>
          <w:color w:val="auto"/>
          <w:sz w:val="32"/>
          <w:szCs w:val="32"/>
          <w:highlight w:val="none"/>
          <w:lang w:val="zh-CN"/>
        </w:rPr>
        <w:t>。</w:t>
      </w:r>
      <w:r>
        <w:rPr>
          <w:rFonts w:hint="eastAsia" w:ascii="Times New Roman" w:hAnsi="Times New Roman" w:eastAsia="仿宋_GB2312" w:cs="Times New Roman"/>
          <w:b w:val="0"/>
          <w:bCs w:val="0"/>
          <w:color w:val="auto"/>
          <w:kern w:val="2"/>
          <w:sz w:val="32"/>
          <w:szCs w:val="32"/>
          <w:highlight w:val="none"/>
          <w:lang w:val="zh-CN" w:eastAsia="zh-CN" w:bidi="ar-SA"/>
        </w:rPr>
        <w:t>零售非存代销资产达8.97亿元，较年初增长34.97%；零售非存客户0.5万户，较年初增长193.37%；金鼎及以上客户0.74万户，较年初增长10.4%；核心收单商户0.81万户；贷记卡有效卡1.96万张，其中活跃贷记卡1.58万张，分期笔数0.32万笔，较年初增长86.95%；网络支付客户数47.85万户，其中活跃网络支付客户数19.47万户。</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楷体_GB2312" w:hAnsi="仿宋_GB2312" w:eastAsia="楷体_GB2312" w:cs="仿宋_GB2312"/>
          <w:color w:val="auto"/>
          <w:sz w:val="32"/>
          <w:szCs w:val="32"/>
          <w:highlight w:val="none"/>
        </w:rPr>
        <w:t>（五）</w:t>
      </w:r>
      <w:r>
        <w:rPr>
          <w:rFonts w:hint="eastAsia" w:ascii="楷体_GB2312" w:hAnsi="仿宋_GB2312" w:eastAsia="楷体_GB2312" w:cs="仿宋_GB2312"/>
          <w:color w:val="auto"/>
          <w:sz w:val="32"/>
          <w:szCs w:val="32"/>
          <w:highlight w:val="none"/>
          <w:lang w:val="en-US" w:eastAsia="zh-CN"/>
        </w:rPr>
        <w:t>经营效益保持稳健。</w:t>
      </w:r>
      <w:r>
        <w:rPr>
          <w:rFonts w:hint="eastAsia" w:ascii="Times New Roman" w:hAnsi="Times New Roman" w:eastAsia="仿宋_GB2312" w:cs="Times New Roman"/>
          <w:b w:val="0"/>
          <w:bCs w:val="0"/>
          <w:color w:val="auto"/>
          <w:kern w:val="2"/>
          <w:sz w:val="32"/>
          <w:szCs w:val="32"/>
          <w:highlight w:val="none"/>
          <w:lang w:val="en-US" w:eastAsia="zh-CN" w:bidi="ar-SA"/>
        </w:rPr>
        <w:t>上半年实现营业收入5.83亿元，同比减少0.06亿元，降幅1.04%；实现拨备前利润3.08亿元，同比增加0.15亿元，增幅5.11%;实现净利润1.80亿元，同比增加0.01亿元，增幅0.78%。实现金融增加值3.90亿元，同比增加0.36亿元，增幅10.12%。</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left"/>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楷体_GB2312" w:hAnsi="仿宋_GB2312" w:eastAsia="楷体_GB2312" w:cs="仿宋_GB2312"/>
          <w:color w:val="auto"/>
          <w:sz w:val="32"/>
          <w:szCs w:val="32"/>
          <w:highlight w:val="none"/>
          <w:lang w:val="en-US" w:eastAsia="zh-CN"/>
        </w:rPr>
        <w:t>（六）三农小微服务稳中有增。</w:t>
      </w:r>
      <w:r>
        <w:rPr>
          <w:rFonts w:hint="eastAsia" w:ascii="Times New Roman" w:hAnsi="Times New Roman" w:eastAsia="仿宋_GB2312" w:cs="Times New Roman"/>
          <w:b w:val="0"/>
          <w:bCs w:val="0"/>
          <w:color w:val="auto"/>
          <w:kern w:val="2"/>
          <w:sz w:val="32"/>
          <w:szCs w:val="32"/>
          <w:highlight w:val="none"/>
          <w:lang w:val="zh-CN" w:eastAsia="zh-CN" w:bidi="ar-SA"/>
        </w:rPr>
        <w:t>至2026年6月末，我行涉农贷款余额141.17亿元，较年初增加7.37亿元，增幅5.51%;普惠型小微企业贷款余额86.82亿元，较年初增加6.44亿元,增幅8.01%，户数21627户，较年初增加1292户。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firstLine="640" w:firstLineChars="200"/>
        <w:textAlignment w:val="auto"/>
        <w:rPr>
          <w:rFonts w:hint="eastAsia"/>
          <w:lang w:val="en-US" w:eastAsia="zh-CN"/>
        </w:rPr>
      </w:pPr>
      <w:r>
        <w:rPr>
          <w:rFonts w:hint="eastAsia" w:ascii="楷体_GB2312" w:hAnsi="仿宋_GB2312" w:eastAsia="楷体_GB2312" w:cs="仿宋_GB2312"/>
          <w:color w:val="auto"/>
          <w:sz w:val="32"/>
          <w:szCs w:val="32"/>
          <w:highlight w:val="none"/>
          <w:lang w:val="en-US" w:eastAsia="zh-CN"/>
        </w:rPr>
        <w:t>（七）消费者权益保护工作稳中有实。</w:t>
      </w:r>
      <w:r>
        <w:rPr>
          <w:rFonts w:hint="eastAsia" w:ascii="Times New Roman" w:hAnsi="Times New Roman" w:eastAsia="仿宋_GB2312" w:cs="Times New Roman"/>
          <w:b w:val="0"/>
          <w:bCs w:val="0"/>
          <w:color w:val="auto"/>
          <w:kern w:val="2"/>
          <w:sz w:val="32"/>
          <w:szCs w:val="32"/>
          <w:highlight w:val="none"/>
          <w:lang w:val="en-US" w:eastAsia="zh-CN" w:bidi="ar-SA"/>
        </w:rPr>
        <w:t>2026年上半年，我行深入贯彻落实监管部门关于消费者权益保护的工作要求，围绕“以客户为中心”的服务理念，不断提升消费者权益保护工作质效。一是常态化开展“3·15”消费者权益保护宣传、普及金融知识万里行宣传、防范非法金融活动宣传、打击不法贷款中介宣传等金融知识普及活动，不断提升客户金融知识素养；二是规范投诉受理处置流程，压实首问负责制，推进源头治理压降投诉信访增量。上半年共受理诉求类工单542件、投诉类工单224件，均在规定时限内办结完毕。</w:t>
      </w:r>
    </w:p>
    <w:p>
      <w:pPr>
        <w:pStyle w:val="24"/>
        <w:spacing w:line="520" w:lineRule="exact"/>
        <w:rPr>
          <w:rFonts w:ascii="仿宋_GB2312" w:hAnsi="ˎ̥" w:eastAsia="仿宋_GB2312" w:cs="Tahoma"/>
          <w:b w:val="0"/>
          <w:color w:val="auto"/>
          <w:kern w:val="0"/>
          <w:sz w:val="32"/>
          <w:szCs w:val="32"/>
          <w:highlight w:val="none"/>
        </w:rPr>
      </w:pPr>
      <w:r>
        <w:rPr>
          <w:rFonts w:hint="eastAsia" w:ascii="仿宋_GB2312" w:eastAsia="仿宋_GB2312"/>
          <w:color w:val="auto"/>
          <w:kern w:val="0"/>
          <w:sz w:val="32"/>
          <w:szCs w:val="32"/>
          <w:highlight w:val="none"/>
        </w:rPr>
        <w:t>第四章　法人治理</w:t>
      </w:r>
      <w:bookmarkEnd w:id="7"/>
      <w:bookmarkEnd w:id="8"/>
      <w:bookmarkEnd w:id="9"/>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宋体" w:eastAsia="仿宋_GB2312" w:cs="Tahoma"/>
          <w:color w:val="auto"/>
          <w:kern w:val="0"/>
          <w:sz w:val="32"/>
          <w:szCs w:val="32"/>
          <w:highlight w:val="none"/>
        </w:rPr>
      </w:pPr>
      <w:r>
        <w:rPr>
          <w:rFonts w:hint="eastAsia" w:ascii="仿宋_GB2312" w:hAnsi="宋体" w:eastAsia="仿宋_GB2312" w:cs="Tahoma"/>
          <w:color w:val="auto"/>
          <w:kern w:val="0"/>
          <w:sz w:val="32"/>
          <w:szCs w:val="32"/>
          <w:highlight w:val="none"/>
        </w:rPr>
        <w:t>报告期内，本行严格按照《商业银行法》《公司治理指引》以及章程的规定，进一步完善法人治理结构，按照人民银行、银行业监管部门以及行业管理部门的有关要求开展业务经营，充分发挥各个利益相关者特别是董监事的作用，确保合规稳健经营和快速发展，保障了存款人利益，为入股股东赢得回报，为社会创造价值。</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Tahoma"/>
          <w:color w:val="auto"/>
          <w:kern w:val="0"/>
          <w:sz w:val="32"/>
          <w:szCs w:val="32"/>
          <w:highlight w:val="none"/>
          <w:lang w:eastAsia="zh-CN"/>
        </w:rPr>
      </w:pPr>
      <w:r>
        <w:rPr>
          <w:rFonts w:hint="eastAsia" w:ascii="黑体" w:hAnsi="黑体" w:eastAsia="黑体" w:cs="Tahoma"/>
          <w:color w:val="auto"/>
          <w:kern w:val="0"/>
          <w:sz w:val="32"/>
          <w:szCs w:val="32"/>
          <w:highlight w:val="none"/>
        </w:rPr>
        <w:t>一、股权结构及股权管理情况</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zh-CN" w:eastAsia="zh-CN" w:bidi="ar-SA"/>
        </w:rPr>
      </w:pPr>
      <w:r>
        <w:rPr>
          <w:rFonts w:hint="eastAsia" w:ascii="Times New Roman" w:hAnsi="Times New Roman" w:eastAsia="仿宋_GB2312" w:cs="Times New Roman"/>
          <w:b w:val="0"/>
          <w:bCs w:val="0"/>
          <w:color w:val="auto"/>
          <w:kern w:val="2"/>
          <w:sz w:val="32"/>
          <w:szCs w:val="32"/>
          <w:highlight w:val="none"/>
          <w:lang w:val="zh-CN" w:eastAsia="zh-CN" w:bidi="ar-SA"/>
        </w:rPr>
        <w:t>报告期末，本行股本总数为7</w:t>
      </w:r>
      <w:r>
        <w:rPr>
          <w:rFonts w:hint="eastAsia" w:ascii="Times New Roman" w:hAnsi="Times New Roman" w:eastAsia="仿宋_GB2312" w:cs="Times New Roman"/>
          <w:b w:val="0"/>
          <w:bCs w:val="0"/>
          <w:color w:val="auto"/>
          <w:kern w:val="2"/>
          <w:sz w:val="32"/>
          <w:szCs w:val="32"/>
          <w:highlight w:val="none"/>
          <w:lang w:val="en-US" w:eastAsia="zh-CN" w:bidi="ar-SA"/>
        </w:rPr>
        <w:t>45</w:t>
      </w:r>
      <w:r>
        <w:rPr>
          <w:rFonts w:hint="eastAsia" w:ascii="Times New Roman" w:hAnsi="Times New Roman" w:eastAsia="仿宋_GB2312" w:cs="Times New Roman"/>
          <w:b w:val="0"/>
          <w:bCs w:val="0"/>
          <w:color w:val="auto"/>
          <w:kern w:val="2"/>
          <w:sz w:val="32"/>
          <w:szCs w:val="32"/>
          <w:highlight w:val="none"/>
          <w:lang w:val="zh-CN" w:eastAsia="zh-CN" w:bidi="ar-SA"/>
        </w:rPr>
        <w:t>户、</w:t>
      </w:r>
      <w:r>
        <w:rPr>
          <w:rFonts w:hint="eastAsia" w:ascii="Times New Roman" w:hAnsi="Times New Roman" w:eastAsia="仿宋_GB2312" w:cs="Times New Roman"/>
          <w:b w:val="0"/>
          <w:bCs w:val="0"/>
          <w:color w:val="auto"/>
          <w:kern w:val="2"/>
          <w:sz w:val="32"/>
          <w:szCs w:val="32"/>
          <w:highlight w:val="none"/>
          <w:lang w:val="en-US" w:eastAsia="zh-CN" w:bidi="ar-SA"/>
        </w:rPr>
        <w:t>44704.959</w:t>
      </w:r>
      <w:r>
        <w:rPr>
          <w:rFonts w:hint="eastAsia" w:ascii="Times New Roman" w:hAnsi="Times New Roman" w:eastAsia="仿宋_GB2312" w:cs="Times New Roman"/>
          <w:b w:val="0"/>
          <w:bCs w:val="0"/>
          <w:color w:val="auto"/>
          <w:kern w:val="2"/>
          <w:sz w:val="32"/>
          <w:szCs w:val="32"/>
          <w:highlight w:val="none"/>
          <w:lang w:val="zh-CN" w:eastAsia="zh-CN" w:bidi="ar-SA"/>
        </w:rPr>
        <w:t>万股，其中：</w:t>
      </w:r>
      <w:r>
        <w:rPr>
          <w:rFonts w:hint="eastAsia" w:ascii="Times New Roman" w:hAnsi="Times New Roman" w:eastAsia="仿宋_GB2312" w:cs="Times New Roman"/>
          <w:b w:val="0"/>
          <w:bCs w:val="0"/>
          <w:color w:val="auto"/>
          <w:kern w:val="2"/>
          <w:sz w:val="32"/>
          <w:szCs w:val="32"/>
          <w:highlight w:val="none"/>
          <w:lang w:val="en-US" w:eastAsia="zh-CN" w:bidi="ar-SA"/>
        </w:rPr>
        <w:t>法人股19户、28189.2132万股，占比63.06%（金融机构战略投资者2户、12164.1214万股，占比27.21%）</w:t>
      </w:r>
      <w:r>
        <w:rPr>
          <w:rFonts w:hint="eastAsia" w:ascii="Times New Roman" w:hAnsi="Times New Roman" w:eastAsia="仿宋_GB2312" w:cs="Times New Roman"/>
          <w:b w:val="0"/>
          <w:bCs w:val="0"/>
          <w:color w:val="auto"/>
          <w:kern w:val="2"/>
          <w:sz w:val="32"/>
          <w:szCs w:val="32"/>
          <w:highlight w:val="none"/>
          <w:lang w:val="zh-CN" w:eastAsia="zh-CN" w:bidi="ar-SA"/>
        </w:rPr>
        <w:t>；</w:t>
      </w:r>
      <w:r>
        <w:rPr>
          <w:rFonts w:hint="eastAsia" w:ascii="Times New Roman" w:hAnsi="Times New Roman" w:eastAsia="仿宋_GB2312" w:cs="Times New Roman"/>
          <w:b w:val="0"/>
          <w:bCs w:val="0"/>
          <w:color w:val="auto"/>
          <w:kern w:val="2"/>
          <w:sz w:val="32"/>
          <w:szCs w:val="32"/>
          <w:highlight w:val="none"/>
          <w:lang w:val="en-US" w:eastAsia="zh-CN" w:bidi="ar-SA"/>
        </w:rPr>
        <w:t>自然人股726户、16515.7458万股，占比36.94%</w:t>
      </w:r>
      <w:r>
        <w:rPr>
          <w:rFonts w:hint="eastAsia" w:ascii="Times New Roman" w:hAnsi="Times New Roman" w:eastAsia="仿宋_GB2312" w:cs="Times New Roman"/>
          <w:b w:val="0"/>
          <w:bCs w:val="0"/>
          <w:color w:val="auto"/>
          <w:kern w:val="2"/>
          <w:sz w:val="32"/>
          <w:szCs w:val="32"/>
          <w:highlight w:val="none"/>
          <w:lang w:val="zh-CN" w:eastAsia="zh-CN" w:bidi="ar-SA"/>
        </w:rPr>
        <w:t>。</w:t>
      </w:r>
      <w:r>
        <w:rPr>
          <w:rFonts w:hint="eastAsia" w:ascii="Times New Roman" w:hAnsi="Times New Roman" w:eastAsia="仿宋_GB2312" w:cs="Times New Roman"/>
          <w:b w:val="0"/>
          <w:bCs w:val="0"/>
          <w:color w:val="auto"/>
          <w:kern w:val="2"/>
          <w:sz w:val="32"/>
          <w:szCs w:val="32"/>
          <w:highlight w:val="none"/>
          <w:lang w:val="en-US" w:eastAsia="zh-CN" w:bidi="ar-SA"/>
        </w:rPr>
        <w:t>无股权质押情况。</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Tahoma"/>
          <w:color w:val="auto"/>
          <w:kern w:val="0"/>
          <w:sz w:val="32"/>
          <w:szCs w:val="32"/>
          <w:highlight w:val="none"/>
        </w:rPr>
      </w:pPr>
      <w:r>
        <w:rPr>
          <w:rFonts w:hint="eastAsia" w:ascii="黑体" w:hAnsi="黑体" w:eastAsia="黑体" w:cs="Tahoma"/>
          <w:color w:val="auto"/>
          <w:kern w:val="0"/>
          <w:sz w:val="32"/>
          <w:szCs w:val="32"/>
          <w:highlight w:val="none"/>
          <w:lang w:val="en-US" w:eastAsia="zh-CN"/>
        </w:rPr>
        <w:t>二</w:t>
      </w:r>
      <w:r>
        <w:rPr>
          <w:rFonts w:hint="eastAsia" w:ascii="黑体" w:hAnsi="黑体" w:eastAsia="黑体" w:cs="Tahoma"/>
          <w:color w:val="auto"/>
          <w:kern w:val="0"/>
          <w:sz w:val="32"/>
          <w:szCs w:val="32"/>
          <w:highlight w:val="none"/>
        </w:rPr>
        <w:t>、主要股东情况</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zh-CN" w:eastAsia="zh-CN" w:bidi="ar-SA"/>
        </w:rPr>
      </w:pPr>
      <w:r>
        <w:rPr>
          <w:rFonts w:hint="eastAsia" w:ascii="Times New Roman" w:hAnsi="Times New Roman" w:eastAsia="仿宋_GB2312" w:cs="Times New Roman"/>
          <w:b w:val="0"/>
          <w:bCs w:val="0"/>
          <w:color w:val="auto"/>
          <w:kern w:val="2"/>
          <w:sz w:val="32"/>
          <w:szCs w:val="32"/>
          <w:highlight w:val="none"/>
          <w:lang w:val="zh-CN" w:eastAsia="zh-CN" w:bidi="ar-SA"/>
        </w:rPr>
        <w:t>报告期末，本行主要股东共有</w:t>
      </w:r>
      <w:r>
        <w:rPr>
          <w:rFonts w:hint="eastAsia" w:ascii="Times New Roman" w:hAnsi="Times New Roman" w:eastAsia="仿宋_GB2312" w:cs="Times New Roman"/>
          <w:b w:val="0"/>
          <w:bCs w:val="0"/>
          <w:color w:val="auto"/>
          <w:kern w:val="2"/>
          <w:sz w:val="32"/>
          <w:szCs w:val="32"/>
          <w:highlight w:val="none"/>
          <w:lang w:val="en-US" w:eastAsia="zh-CN" w:bidi="ar-SA"/>
        </w:rPr>
        <w:t>5</w:t>
      </w:r>
      <w:r>
        <w:rPr>
          <w:rFonts w:hint="eastAsia" w:ascii="Times New Roman" w:hAnsi="Times New Roman" w:eastAsia="仿宋_GB2312" w:cs="Times New Roman"/>
          <w:b w:val="0"/>
          <w:bCs w:val="0"/>
          <w:color w:val="auto"/>
          <w:kern w:val="2"/>
          <w:sz w:val="32"/>
          <w:szCs w:val="32"/>
          <w:highlight w:val="none"/>
          <w:lang w:val="zh-CN" w:eastAsia="zh-CN" w:bidi="ar-SA"/>
        </w:rPr>
        <w:t>户，分别为无锡农村商业银行股份有限公司</w:t>
      </w:r>
      <w:r>
        <w:rPr>
          <w:rFonts w:hint="eastAsia" w:ascii="Times New Roman" w:hAnsi="Times New Roman" w:eastAsia="仿宋_GB2312" w:cs="Times New Roman"/>
          <w:b w:val="0"/>
          <w:bCs w:val="0"/>
          <w:color w:val="auto"/>
          <w:kern w:val="2"/>
          <w:sz w:val="32"/>
          <w:szCs w:val="32"/>
          <w:highlight w:val="none"/>
          <w:lang w:val="en-US" w:eastAsia="zh-CN" w:bidi="ar-SA"/>
        </w:rPr>
        <w:t>、</w:t>
      </w:r>
      <w:r>
        <w:rPr>
          <w:rFonts w:hint="eastAsia" w:ascii="Times New Roman" w:hAnsi="Times New Roman" w:eastAsia="仿宋_GB2312" w:cs="Times New Roman"/>
          <w:b w:val="0"/>
          <w:bCs w:val="0"/>
          <w:color w:val="auto"/>
          <w:kern w:val="2"/>
          <w:sz w:val="32"/>
          <w:szCs w:val="32"/>
          <w:highlight w:val="none"/>
          <w:lang w:val="zh-CN" w:eastAsia="zh-CN" w:bidi="ar-SA"/>
        </w:rPr>
        <w:t>连云港市晶都建设集团有限公司、</w:t>
      </w:r>
      <w:r>
        <w:rPr>
          <w:rFonts w:hint="eastAsia" w:ascii="Times New Roman" w:hAnsi="Times New Roman" w:eastAsia="仿宋_GB2312" w:cs="Times New Roman"/>
          <w:b w:val="0"/>
          <w:bCs w:val="0"/>
          <w:color w:val="auto"/>
          <w:kern w:val="2"/>
          <w:sz w:val="32"/>
          <w:szCs w:val="32"/>
          <w:highlight w:val="none"/>
          <w:lang w:val="en-US" w:eastAsia="zh-CN" w:bidi="ar-SA"/>
        </w:rPr>
        <w:t>江苏农村商业联合银行股份有限公司</w:t>
      </w:r>
      <w:r>
        <w:rPr>
          <w:rFonts w:hint="eastAsia" w:ascii="Times New Roman" w:hAnsi="Times New Roman" w:eastAsia="仿宋_GB2312" w:cs="Times New Roman"/>
          <w:b w:val="0"/>
          <w:bCs w:val="0"/>
          <w:color w:val="auto"/>
          <w:kern w:val="2"/>
          <w:sz w:val="32"/>
          <w:szCs w:val="32"/>
          <w:highlight w:val="none"/>
          <w:lang w:val="zh-CN" w:eastAsia="zh-CN" w:bidi="ar-SA"/>
        </w:rPr>
        <w:t>、东海县三晟工贸有限公司、江苏福如东海发展集团有限公司。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s="Tahoma"/>
          <w:color w:val="auto"/>
          <w:kern w:val="0"/>
          <w:sz w:val="32"/>
          <w:szCs w:val="32"/>
          <w:highlight w:val="none"/>
        </w:rPr>
      </w:pPr>
      <w:r>
        <w:rPr>
          <w:rFonts w:hint="eastAsia" w:ascii="仿宋_GB2312" w:hAnsi="宋体" w:eastAsia="仿宋_GB2312" w:cs="Tahoma"/>
          <w:color w:val="auto"/>
          <w:kern w:val="0"/>
          <w:sz w:val="32"/>
          <w:szCs w:val="32"/>
          <w:highlight w:val="none"/>
        </w:rPr>
        <w:t>主要股东情况详见下表：</w:t>
      </w:r>
    </w:p>
    <w:tbl>
      <w:tblPr>
        <w:tblStyle w:val="27"/>
        <w:tblW w:w="7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2284"/>
        <w:gridCol w:w="2400"/>
        <w:gridCol w:w="1266"/>
        <w:gridCol w:w="1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3" w:type="dxa"/>
          </w:tcPr>
          <w:p>
            <w:pPr>
              <w:spacing w:line="480" w:lineRule="auto"/>
              <w:jc w:val="center"/>
              <w:rPr>
                <w:rFonts w:hint="eastAsia" w:ascii="宋体" w:hAnsi="宋体" w:eastAsia="宋体"/>
                <w:b/>
                <w:color w:val="auto"/>
                <w:sz w:val="18"/>
                <w:szCs w:val="18"/>
                <w:highlight w:val="none"/>
              </w:rPr>
            </w:pPr>
            <w:r>
              <w:rPr>
                <w:rFonts w:hint="eastAsia" w:ascii="宋体" w:hAnsi="宋体" w:eastAsia="宋体"/>
                <w:b/>
                <w:color w:val="auto"/>
                <w:sz w:val="18"/>
                <w:szCs w:val="18"/>
                <w:highlight w:val="none"/>
              </w:rPr>
              <w:t>序号</w:t>
            </w:r>
          </w:p>
        </w:tc>
        <w:tc>
          <w:tcPr>
            <w:tcW w:w="2284" w:type="dxa"/>
          </w:tcPr>
          <w:p>
            <w:pPr>
              <w:spacing w:line="480" w:lineRule="auto"/>
              <w:jc w:val="center"/>
              <w:rPr>
                <w:rFonts w:hint="eastAsia" w:ascii="宋体" w:hAnsi="宋体" w:eastAsia="宋体"/>
                <w:b/>
                <w:color w:val="auto"/>
                <w:sz w:val="18"/>
                <w:szCs w:val="18"/>
                <w:highlight w:val="none"/>
              </w:rPr>
            </w:pPr>
            <w:r>
              <w:rPr>
                <w:rFonts w:hint="eastAsia" w:ascii="宋体" w:hAnsi="宋体" w:eastAsia="宋体"/>
                <w:b/>
                <w:color w:val="auto"/>
                <w:sz w:val="18"/>
                <w:szCs w:val="18"/>
                <w:highlight w:val="none"/>
              </w:rPr>
              <w:t>主要股东名称</w:t>
            </w:r>
          </w:p>
        </w:tc>
        <w:tc>
          <w:tcPr>
            <w:tcW w:w="2400" w:type="dxa"/>
          </w:tcPr>
          <w:p>
            <w:pPr>
              <w:spacing w:line="480" w:lineRule="auto"/>
              <w:jc w:val="center"/>
              <w:rPr>
                <w:rFonts w:hint="eastAsia" w:ascii="宋体" w:hAnsi="宋体" w:eastAsia="宋体"/>
                <w:b/>
                <w:color w:val="auto"/>
                <w:sz w:val="18"/>
                <w:szCs w:val="18"/>
                <w:highlight w:val="none"/>
              </w:rPr>
            </w:pPr>
            <w:r>
              <w:rPr>
                <w:rFonts w:hint="eastAsia" w:ascii="宋体" w:hAnsi="宋体" w:eastAsia="宋体"/>
                <w:b/>
                <w:color w:val="auto"/>
                <w:sz w:val="18"/>
                <w:szCs w:val="18"/>
                <w:highlight w:val="none"/>
              </w:rPr>
              <w:t>统一社会信用代码</w:t>
            </w:r>
          </w:p>
        </w:tc>
        <w:tc>
          <w:tcPr>
            <w:tcW w:w="1266" w:type="dxa"/>
            <w:vAlign w:val="center"/>
          </w:tcPr>
          <w:p>
            <w:pPr>
              <w:spacing w:line="240" w:lineRule="auto"/>
              <w:jc w:val="center"/>
              <w:rPr>
                <w:rFonts w:ascii="宋体" w:hAnsi="宋体"/>
                <w:b/>
                <w:color w:val="auto"/>
                <w:sz w:val="18"/>
                <w:szCs w:val="18"/>
                <w:highlight w:val="none"/>
              </w:rPr>
            </w:pPr>
            <w:r>
              <w:rPr>
                <w:rFonts w:hint="eastAsia" w:ascii="宋体" w:hAnsi="宋体"/>
                <w:b/>
                <w:color w:val="auto"/>
                <w:sz w:val="18"/>
                <w:szCs w:val="18"/>
                <w:highlight w:val="none"/>
              </w:rPr>
              <w:t>持股数量   （</w:t>
            </w:r>
            <w:r>
              <w:rPr>
                <w:rFonts w:hint="eastAsia" w:ascii="宋体" w:hAnsi="宋体"/>
                <w:b/>
                <w:color w:val="auto"/>
                <w:sz w:val="18"/>
                <w:szCs w:val="18"/>
                <w:highlight w:val="none"/>
                <w:lang w:val="en-US" w:eastAsia="zh-CN"/>
              </w:rPr>
              <w:t>万</w:t>
            </w:r>
            <w:r>
              <w:rPr>
                <w:rFonts w:hint="eastAsia" w:ascii="宋体" w:hAnsi="宋体"/>
                <w:b/>
                <w:color w:val="auto"/>
                <w:sz w:val="18"/>
                <w:szCs w:val="18"/>
                <w:highlight w:val="none"/>
              </w:rPr>
              <w:t>股）</w:t>
            </w:r>
          </w:p>
        </w:tc>
        <w:tc>
          <w:tcPr>
            <w:tcW w:w="1231" w:type="dxa"/>
            <w:vAlign w:val="center"/>
          </w:tcPr>
          <w:p>
            <w:pPr>
              <w:spacing w:line="240" w:lineRule="auto"/>
              <w:jc w:val="center"/>
              <w:rPr>
                <w:rFonts w:ascii="宋体" w:hAnsi="宋体"/>
                <w:b/>
                <w:color w:val="auto"/>
                <w:sz w:val="18"/>
                <w:szCs w:val="18"/>
                <w:highlight w:val="none"/>
              </w:rPr>
            </w:pPr>
            <w:r>
              <w:rPr>
                <w:rFonts w:hint="eastAsia" w:ascii="宋体" w:hAnsi="宋体"/>
                <w:b/>
                <w:color w:val="auto"/>
                <w:sz w:val="18"/>
                <w:szCs w:val="18"/>
                <w:highlight w:val="none"/>
              </w:rPr>
              <w:t>持股比例（%）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3"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2284"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无锡农村商业银行股份有限公司</w:t>
            </w:r>
          </w:p>
        </w:tc>
        <w:tc>
          <w:tcPr>
            <w:tcW w:w="2400"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91320200775435667T</w:t>
            </w:r>
          </w:p>
        </w:tc>
        <w:tc>
          <w:tcPr>
            <w:tcW w:w="126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t>8652</w:t>
            </w:r>
            <w:r>
              <w:rPr>
                <w:rFonts w:hint="eastAsia" w:ascii="宋体" w:hAnsi="宋体" w:eastAsia="宋体" w:cs="宋体"/>
                <w:color w:val="auto"/>
                <w:sz w:val="18"/>
                <w:szCs w:val="18"/>
                <w:highlight w:val="none"/>
                <w:lang w:val="en-US" w:eastAsia="zh-CN"/>
              </w:rPr>
              <w:t>.</w:t>
            </w:r>
            <w:r>
              <w:rPr>
                <w:rFonts w:hint="default" w:ascii="宋体" w:hAnsi="宋体" w:eastAsia="宋体" w:cs="宋体"/>
                <w:color w:val="auto"/>
                <w:sz w:val="18"/>
                <w:szCs w:val="18"/>
                <w:highlight w:val="none"/>
                <w:lang w:val="en-US" w:eastAsia="zh-CN"/>
              </w:rPr>
              <w:t>5727</w:t>
            </w:r>
          </w:p>
        </w:tc>
        <w:tc>
          <w:tcPr>
            <w:tcW w:w="1231"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19.35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3"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2284"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连云港市晶都建设集团有限公司</w:t>
            </w:r>
          </w:p>
        </w:tc>
        <w:tc>
          <w:tcPr>
            <w:tcW w:w="2400"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91320722703801728G</w:t>
            </w:r>
          </w:p>
        </w:tc>
        <w:tc>
          <w:tcPr>
            <w:tcW w:w="126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t>4316</w:t>
            </w:r>
            <w:r>
              <w:rPr>
                <w:rFonts w:hint="eastAsia" w:ascii="宋体" w:hAnsi="宋体" w:eastAsia="宋体" w:cs="宋体"/>
                <w:color w:val="auto"/>
                <w:sz w:val="18"/>
                <w:szCs w:val="18"/>
                <w:highlight w:val="none"/>
                <w:lang w:val="en-US" w:eastAsia="zh-CN"/>
              </w:rPr>
              <w:t>.</w:t>
            </w:r>
            <w:r>
              <w:rPr>
                <w:rFonts w:hint="default" w:ascii="宋体" w:hAnsi="宋体" w:eastAsia="宋体" w:cs="宋体"/>
                <w:color w:val="auto"/>
                <w:sz w:val="18"/>
                <w:szCs w:val="18"/>
                <w:highlight w:val="none"/>
                <w:lang w:val="en-US" w:eastAsia="zh-CN"/>
              </w:rPr>
              <w:t>3827</w:t>
            </w:r>
          </w:p>
        </w:tc>
        <w:tc>
          <w:tcPr>
            <w:tcW w:w="1231"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3"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w:t>
            </w:r>
          </w:p>
        </w:tc>
        <w:tc>
          <w:tcPr>
            <w:tcW w:w="2284"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江苏农村商业联合银行股份有限公司</w:t>
            </w:r>
          </w:p>
        </w:tc>
        <w:tc>
          <w:tcPr>
            <w:tcW w:w="2400"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913200007322511715</w:t>
            </w:r>
          </w:p>
        </w:tc>
        <w:tc>
          <w:tcPr>
            <w:tcW w:w="126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t>3511</w:t>
            </w:r>
            <w:r>
              <w:rPr>
                <w:rFonts w:hint="eastAsia" w:ascii="宋体" w:hAnsi="宋体" w:eastAsia="宋体" w:cs="宋体"/>
                <w:color w:val="auto"/>
                <w:sz w:val="18"/>
                <w:szCs w:val="18"/>
                <w:highlight w:val="none"/>
                <w:lang w:val="en-US" w:eastAsia="zh-CN"/>
              </w:rPr>
              <w:t>.</w:t>
            </w:r>
            <w:r>
              <w:rPr>
                <w:rFonts w:hint="default" w:ascii="宋体" w:hAnsi="宋体" w:eastAsia="宋体" w:cs="宋体"/>
                <w:color w:val="auto"/>
                <w:sz w:val="18"/>
                <w:szCs w:val="18"/>
                <w:highlight w:val="none"/>
                <w:lang w:val="en-US" w:eastAsia="zh-CN"/>
              </w:rPr>
              <w:t>5487</w:t>
            </w:r>
          </w:p>
        </w:tc>
        <w:tc>
          <w:tcPr>
            <w:tcW w:w="1231"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7.86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3"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w:t>
            </w:r>
          </w:p>
        </w:tc>
        <w:tc>
          <w:tcPr>
            <w:tcW w:w="2284"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东海县三晟工贸有限公司</w:t>
            </w:r>
          </w:p>
        </w:tc>
        <w:tc>
          <w:tcPr>
            <w:tcW w:w="2400"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91320722685323282A</w:t>
            </w:r>
          </w:p>
        </w:tc>
        <w:tc>
          <w:tcPr>
            <w:tcW w:w="126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default"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t>2130</w:t>
            </w:r>
            <w:r>
              <w:rPr>
                <w:rFonts w:hint="eastAsia" w:ascii="宋体" w:hAnsi="宋体" w:eastAsia="宋体" w:cs="宋体"/>
                <w:color w:val="auto"/>
                <w:sz w:val="18"/>
                <w:szCs w:val="18"/>
                <w:highlight w:val="none"/>
                <w:lang w:val="en-US" w:eastAsia="zh-CN"/>
              </w:rPr>
              <w:t>.</w:t>
            </w:r>
            <w:r>
              <w:rPr>
                <w:rFonts w:hint="default" w:ascii="宋体" w:hAnsi="宋体" w:eastAsia="宋体" w:cs="宋体"/>
                <w:color w:val="auto"/>
                <w:sz w:val="18"/>
                <w:szCs w:val="18"/>
                <w:highlight w:val="none"/>
                <w:lang w:val="en-US" w:eastAsia="zh-CN"/>
              </w:rPr>
              <w:t>7845</w:t>
            </w:r>
          </w:p>
        </w:tc>
        <w:tc>
          <w:tcPr>
            <w:tcW w:w="1231"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3"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w:t>
            </w:r>
          </w:p>
        </w:tc>
        <w:tc>
          <w:tcPr>
            <w:tcW w:w="2284"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江苏福如东海发展集团有限公司</w:t>
            </w:r>
          </w:p>
        </w:tc>
        <w:tc>
          <w:tcPr>
            <w:tcW w:w="2400"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91320722756404961J</w:t>
            </w:r>
          </w:p>
        </w:tc>
        <w:tc>
          <w:tcPr>
            <w:tcW w:w="1266"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t>1874</w:t>
            </w:r>
            <w:r>
              <w:rPr>
                <w:rFonts w:hint="eastAsia" w:ascii="宋体" w:hAnsi="宋体" w:eastAsia="宋体" w:cs="宋体"/>
                <w:color w:val="auto"/>
                <w:sz w:val="18"/>
                <w:szCs w:val="18"/>
                <w:highlight w:val="none"/>
                <w:lang w:val="en-US" w:eastAsia="zh-CN"/>
              </w:rPr>
              <w:t>.</w:t>
            </w:r>
            <w:r>
              <w:rPr>
                <w:rFonts w:hint="default" w:ascii="宋体" w:hAnsi="宋体" w:eastAsia="宋体" w:cs="宋体"/>
                <w:color w:val="auto"/>
                <w:sz w:val="18"/>
                <w:szCs w:val="18"/>
                <w:highlight w:val="none"/>
                <w:lang w:val="en-US" w:eastAsia="zh-CN"/>
              </w:rPr>
              <w:t>7242</w:t>
            </w:r>
          </w:p>
        </w:tc>
        <w:tc>
          <w:tcPr>
            <w:tcW w:w="1231" w:type="dxa"/>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4.19</w:t>
            </w:r>
          </w:p>
        </w:tc>
      </w:tr>
    </w:tbl>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黑体" w:hAnsi="黑体" w:eastAsia="黑体" w:cs="Tahoma"/>
          <w:color w:val="auto"/>
          <w:kern w:val="0"/>
          <w:sz w:val="32"/>
          <w:szCs w:val="32"/>
          <w:highlight w:val="none"/>
          <w:lang w:val="en-US" w:eastAsia="zh-CN"/>
        </w:rPr>
      </w:pPr>
      <w:r>
        <w:rPr>
          <w:rFonts w:hint="eastAsia" w:ascii="黑体" w:hAnsi="黑体" w:eastAsia="黑体" w:cs="Tahoma"/>
          <w:color w:val="auto"/>
          <w:kern w:val="0"/>
          <w:sz w:val="32"/>
          <w:szCs w:val="32"/>
          <w:highlight w:val="none"/>
          <w:lang w:val="en-US" w:eastAsia="zh-CN" w:bidi="ar-SA"/>
        </w:rPr>
        <w:t>三、持股5%以上的股东情况</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zh-CN" w:eastAsia="zh-CN" w:bidi="ar-SA"/>
        </w:rPr>
      </w:pPr>
      <w:r>
        <w:rPr>
          <w:rFonts w:hint="eastAsia" w:ascii="Times New Roman" w:hAnsi="Times New Roman" w:eastAsia="仿宋_GB2312" w:cs="Times New Roman"/>
          <w:b w:val="0"/>
          <w:bCs w:val="0"/>
          <w:color w:val="auto"/>
          <w:kern w:val="2"/>
          <w:sz w:val="32"/>
          <w:szCs w:val="32"/>
          <w:highlight w:val="none"/>
          <w:lang w:val="zh-CN" w:eastAsia="zh-CN" w:bidi="ar-SA"/>
        </w:rPr>
        <w:t>1.无锡农村商业银行股份有限公司，持股总额</w:t>
      </w:r>
      <w:r>
        <w:rPr>
          <w:rFonts w:hint="default" w:ascii="Times New Roman" w:hAnsi="Times New Roman" w:eastAsia="仿宋_GB2312" w:cs="Times New Roman"/>
          <w:b w:val="0"/>
          <w:bCs w:val="0"/>
          <w:color w:val="auto"/>
          <w:kern w:val="2"/>
          <w:sz w:val="32"/>
          <w:szCs w:val="32"/>
          <w:highlight w:val="none"/>
          <w:lang w:val="en-US" w:eastAsia="zh-CN" w:bidi="ar-SA"/>
        </w:rPr>
        <w:t>8652</w:t>
      </w:r>
      <w:r>
        <w:rPr>
          <w:rFonts w:hint="eastAsia" w:ascii="Times New Roman" w:hAnsi="Times New Roman" w:eastAsia="仿宋_GB2312" w:cs="Times New Roman"/>
          <w:b w:val="0"/>
          <w:bCs w:val="0"/>
          <w:color w:val="auto"/>
          <w:kern w:val="2"/>
          <w:sz w:val="32"/>
          <w:szCs w:val="32"/>
          <w:highlight w:val="none"/>
          <w:lang w:val="en-US" w:eastAsia="zh-CN" w:bidi="ar-SA"/>
        </w:rPr>
        <w:t>.</w:t>
      </w:r>
      <w:r>
        <w:rPr>
          <w:rFonts w:hint="default" w:ascii="Times New Roman" w:hAnsi="Times New Roman" w:eastAsia="仿宋_GB2312" w:cs="Times New Roman"/>
          <w:b w:val="0"/>
          <w:bCs w:val="0"/>
          <w:color w:val="auto"/>
          <w:kern w:val="2"/>
          <w:sz w:val="32"/>
          <w:szCs w:val="32"/>
          <w:highlight w:val="none"/>
          <w:lang w:val="en-US" w:eastAsia="zh-CN" w:bidi="ar-SA"/>
        </w:rPr>
        <w:t>5727</w:t>
      </w:r>
      <w:r>
        <w:rPr>
          <w:rFonts w:hint="eastAsia" w:ascii="Times New Roman" w:hAnsi="Times New Roman" w:eastAsia="仿宋_GB2312" w:cs="Times New Roman"/>
          <w:b w:val="0"/>
          <w:bCs w:val="0"/>
          <w:color w:val="auto"/>
          <w:kern w:val="2"/>
          <w:sz w:val="32"/>
          <w:szCs w:val="32"/>
          <w:highlight w:val="none"/>
          <w:lang w:val="zh-CN" w:eastAsia="zh-CN" w:bidi="ar-SA"/>
        </w:rPr>
        <w:t>万股，持股占比19.35%。</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zh-CN" w:eastAsia="zh-CN" w:bidi="ar-SA"/>
        </w:rPr>
      </w:pPr>
      <w:r>
        <w:rPr>
          <w:rFonts w:hint="eastAsia" w:ascii="Times New Roman" w:hAnsi="Times New Roman" w:eastAsia="仿宋_GB2312" w:cs="Times New Roman"/>
          <w:b w:val="0"/>
          <w:bCs w:val="0"/>
          <w:color w:val="auto"/>
          <w:kern w:val="2"/>
          <w:sz w:val="32"/>
          <w:szCs w:val="32"/>
          <w:highlight w:val="none"/>
          <w:lang w:val="zh-CN" w:eastAsia="zh-CN" w:bidi="ar-SA"/>
        </w:rPr>
        <w:t>无锡农村商业银行股份有限公司成立于2005年6月21日，公司类型为股份有限公司(上市)。公司地址：江苏省无锡市锡山区延庆街11号、丹山路66-3、 66-1301、 66-1401号。法定代表人：</w:t>
      </w:r>
      <w:r>
        <w:rPr>
          <w:rFonts w:hint="eastAsia" w:ascii="Times New Roman" w:hAnsi="Times New Roman" w:eastAsia="仿宋_GB2312" w:cs="Times New Roman"/>
          <w:b w:val="0"/>
          <w:bCs w:val="0"/>
          <w:color w:val="auto"/>
          <w:kern w:val="2"/>
          <w:sz w:val="32"/>
          <w:szCs w:val="32"/>
          <w:highlight w:val="none"/>
          <w:lang w:val="en-US" w:eastAsia="zh-CN" w:bidi="ar-SA"/>
        </w:rPr>
        <w:t>陶畅</w:t>
      </w:r>
      <w:r>
        <w:rPr>
          <w:rFonts w:hint="eastAsia" w:ascii="Times New Roman" w:hAnsi="Times New Roman" w:eastAsia="仿宋_GB2312" w:cs="Times New Roman"/>
          <w:b w:val="0"/>
          <w:bCs w:val="0"/>
          <w:color w:val="auto"/>
          <w:kern w:val="2"/>
          <w:sz w:val="32"/>
          <w:szCs w:val="32"/>
          <w:highlight w:val="none"/>
          <w:lang w:val="zh-CN" w:eastAsia="zh-CN" w:bidi="ar-SA"/>
        </w:rPr>
        <w:t>。注册资本</w:t>
      </w:r>
      <w:r>
        <w:rPr>
          <w:rFonts w:hint="eastAsia" w:ascii="Times New Roman" w:hAnsi="Times New Roman" w:eastAsia="仿宋_GB2312" w:cs="Times New Roman"/>
          <w:b w:val="0"/>
          <w:bCs w:val="0"/>
          <w:color w:val="auto"/>
          <w:kern w:val="2"/>
          <w:sz w:val="32"/>
          <w:szCs w:val="32"/>
          <w:highlight w:val="none"/>
          <w:lang w:val="en-US" w:eastAsia="zh-CN" w:bidi="ar-SA"/>
        </w:rPr>
        <w:t>219468.1695</w:t>
      </w:r>
      <w:r>
        <w:rPr>
          <w:rFonts w:hint="eastAsia" w:ascii="Times New Roman" w:hAnsi="Times New Roman" w:eastAsia="仿宋_GB2312" w:cs="Times New Roman"/>
          <w:b w:val="0"/>
          <w:bCs w:val="0"/>
          <w:color w:val="auto"/>
          <w:kern w:val="2"/>
          <w:sz w:val="32"/>
          <w:szCs w:val="32"/>
          <w:highlight w:val="none"/>
          <w:lang w:val="zh-CN" w:eastAsia="zh-CN" w:bidi="ar-SA"/>
        </w:rPr>
        <w:t>万元人民币。主营业务为吸收公众存款，发放短期、中期和长期贷款、办理国内外结算、办理票据承兑与贴现、代理发行、代理兑付、承销政府债券、买卖政府债券、金融债券、从事同行拆借、代理收付款项及代理保险业务、提供保管箱服务、外汇存款、外汇贷款、外汇汇款、外币兑换、结汇、售汇、资信调查、咨询和见证业务、经中国银行业监督管理委员会批准的其他业务。同时持有淮安</w:t>
      </w:r>
      <w:r>
        <w:rPr>
          <w:rFonts w:hint="eastAsia" w:ascii="Times New Roman" w:hAnsi="Times New Roman" w:eastAsia="仿宋_GB2312" w:cs="Times New Roman"/>
          <w:b w:val="0"/>
          <w:bCs w:val="0"/>
          <w:color w:val="auto"/>
          <w:kern w:val="2"/>
          <w:sz w:val="32"/>
          <w:szCs w:val="32"/>
          <w:highlight w:val="none"/>
          <w:lang w:val="en-US" w:eastAsia="zh-CN" w:bidi="ar-SA"/>
        </w:rPr>
        <w:t>农商</w:t>
      </w:r>
      <w:r>
        <w:rPr>
          <w:rFonts w:hint="eastAsia" w:ascii="Times New Roman" w:hAnsi="Times New Roman" w:eastAsia="仿宋_GB2312" w:cs="Times New Roman"/>
          <w:b w:val="0"/>
          <w:bCs w:val="0"/>
          <w:color w:val="auto"/>
          <w:kern w:val="2"/>
          <w:sz w:val="32"/>
          <w:szCs w:val="32"/>
          <w:highlight w:val="none"/>
          <w:lang w:val="zh-CN" w:eastAsia="zh-CN" w:bidi="ar-SA"/>
        </w:rPr>
        <w:t>银行、徐州</w:t>
      </w:r>
      <w:r>
        <w:rPr>
          <w:rFonts w:hint="eastAsia" w:ascii="Times New Roman" w:hAnsi="Times New Roman" w:eastAsia="仿宋_GB2312" w:cs="Times New Roman"/>
          <w:b w:val="0"/>
          <w:bCs w:val="0"/>
          <w:color w:val="auto"/>
          <w:kern w:val="2"/>
          <w:sz w:val="32"/>
          <w:szCs w:val="32"/>
          <w:highlight w:val="none"/>
          <w:lang w:val="en-US" w:eastAsia="zh-CN" w:bidi="ar-SA"/>
        </w:rPr>
        <w:t>农商</w:t>
      </w:r>
      <w:r>
        <w:rPr>
          <w:rFonts w:hint="eastAsia" w:ascii="Times New Roman" w:hAnsi="Times New Roman" w:eastAsia="仿宋_GB2312" w:cs="Times New Roman"/>
          <w:b w:val="0"/>
          <w:bCs w:val="0"/>
          <w:color w:val="auto"/>
          <w:kern w:val="2"/>
          <w:sz w:val="32"/>
          <w:szCs w:val="32"/>
          <w:highlight w:val="none"/>
          <w:lang w:val="zh-CN" w:eastAsia="zh-CN" w:bidi="ar-SA"/>
        </w:rPr>
        <w:t>银行、江苏铜山锡州村镇银行和泰州姜堰锡州村镇银行等其他金融机构股权。</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zh-CN" w:eastAsia="zh-CN" w:bidi="ar-SA"/>
        </w:rPr>
      </w:pPr>
      <w:r>
        <w:rPr>
          <w:rFonts w:hint="eastAsia" w:ascii="Times New Roman" w:hAnsi="Times New Roman" w:eastAsia="仿宋_GB2312" w:cs="Times New Roman"/>
          <w:b w:val="0"/>
          <w:bCs w:val="0"/>
          <w:color w:val="auto"/>
          <w:kern w:val="2"/>
          <w:sz w:val="32"/>
          <w:szCs w:val="32"/>
          <w:highlight w:val="none"/>
          <w:lang w:val="zh-CN" w:eastAsia="zh-CN" w:bidi="ar-SA"/>
        </w:rPr>
        <w:t>2.连云港市晶都建设集团有限公司，持股总额</w:t>
      </w:r>
      <w:r>
        <w:rPr>
          <w:rFonts w:hint="default" w:ascii="Times New Roman" w:hAnsi="Times New Roman" w:eastAsia="仿宋_GB2312" w:cs="Times New Roman"/>
          <w:b w:val="0"/>
          <w:bCs w:val="0"/>
          <w:color w:val="auto"/>
          <w:kern w:val="2"/>
          <w:sz w:val="32"/>
          <w:szCs w:val="32"/>
          <w:highlight w:val="none"/>
          <w:lang w:val="en-US" w:eastAsia="zh-CN" w:bidi="ar-SA"/>
        </w:rPr>
        <w:t>4316</w:t>
      </w:r>
      <w:r>
        <w:rPr>
          <w:rFonts w:hint="eastAsia" w:ascii="Times New Roman" w:hAnsi="Times New Roman" w:eastAsia="仿宋_GB2312" w:cs="Times New Roman"/>
          <w:b w:val="0"/>
          <w:bCs w:val="0"/>
          <w:color w:val="auto"/>
          <w:kern w:val="2"/>
          <w:sz w:val="32"/>
          <w:szCs w:val="32"/>
          <w:highlight w:val="none"/>
          <w:lang w:val="en-US" w:eastAsia="zh-CN" w:bidi="ar-SA"/>
        </w:rPr>
        <w:t>.</w:t>
      </w:r>
      <w:r>
        <w:rPr>
          <w:rFonts w:hint="default" w:ascii="Times New Roman" w:hAnsi="Times New Roman" w:eastAsia="仿宋_GB2312" w:cs="Times New Roman"/>
          <w:b w:val="0"/>
          <w:bCs w:val="0"/>
          <w:color w:val="auto"/>
          <w:kern w:val="2"/>
          <w:sz w:val="32"/>
          <w:szCs w:val="32"/>
          <w:highlight w:val="none"/>
          <w:lang w:val="en-US" w:eastAsia="zh-CN" w:bidi="ar-SA"/>
        </w:rPr>
        <w:t>3827</w:t>
      </w:r>
      <w:r>
        <w:rPr>
          <w:rFonts w:hint="eastAsia" w:ascii="Times New Roman" w:hAnsi="Times New Roman" w:eastAsia="仿宋_GB2312" w:cs="Times New Roman"/>
          <w:b w:val="0"/>
          <w:bCs w:val="0"/>
          <w:color w:val="auto"/>
          <w:kern w:val="2"/>
          <w:sz w:val="32"/>
          <w:szCs w:val="32"/>
          <w:highlight w:val="none"/>
          <w:lang w:val="zh-CN" w:eastAsia="zh-CN" w:bidi="ar-SA"/>
        </w:rPr>
        <w:t>万股，持股占比9.66%。</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zh-CN" w:eastAsia="zh-CN" w:bidi="ar-SA"/>
        </w:rPr>
      </w:pPr>
      <w:r>
        <w:rPr>
          <w:rFonts w:hint="eastAsia" w:ascii="Times New Roman" w:hAnsi="Times New Roman" w:eastAsia="仿宋_GB2312" w:cs="Times New Roman"/>
          <w:b w:val="0"/>
          <w:bCs w:val="0"/>
          <w:color w:val="auto"/>
          <w:kern w:val="2"/>
          <w:sz w:val="32"/>
          <w:szCs w:val="32"/>
          <w:highlight w:val="none"/>
          <w:lang w:val="zh-CN" w:eastAsia="zh-CN" w:bidi="ar-SA"/>
        </w:rPr>
        <w:t>连云港市晶都建设集团有限公司成立于199</w:t>
      </w:r>
      <w:r>
        <w:rPr>
          <w:rFonts w:hint="eastAsia" w:ascii="Times New Roman" w:hAnsi="Times New Roman" w:eastAsia="仿宋_GB2312" w:cs="Times New Roman"/>
          <w:b w:val="0"/>
          <w:bCs w:val="0"/>
          <w:color w:val="auto"/>
          <w:kern w:val="2"/>
          <w:sz w:val="32"/>
          <w:szCs w:val="32"/>
          <w:highlight w:val="none"/>
          <w:lang w:val="en-US" w:eastAsia="zh-CN" w:bidi="ar-SA"/>
        </w:rPr>
        <w:t>9</w:t>
      </w:r>
      <w:r>
        <w:rPr>
          <w:rFonts w:hint="eastAsia" w:ascii="Times New Roman" w:hAnsi="Times New Roman" w:eastAsia="仿宋_GB2312" w:cs="Times New Roman"/>
          <w:b w:val="0"/>
          <w:bCs w:val="0"/>
          <w:color w:val="auto"/>
          <w:kern w:val="2"/>
          <w:sz w:val="32"/>
          <w:szCs w:val="32"/>
          <w:highlight w:val="none"/>
          <w:lang w:val="zh-CN" w:eastAsia="zh-CN" w:bidi="ar-SA"/>
        </w:rPr>
        <w:t>年3月18日，公司类型为有限责任公司。公司地址：东海县牛山</w:t>
      </w:r>
      <w:r>
        <w:rPr>
          <w:rFonts w:hint="eastAsia" w:ascii="Times New Roman" w:hAnsi="Times New Roman" w:eastAsia="仿宋_GB2312" w:cs="Times New Roman"/>
          <w:b w:val="0"/>
          <w:bCs w:val="0"/>
          <w:color w:val="auto"/>
          <w:kern w:val="2"/>
          <w:sz w:val="32"/>
          <w:szCs w:val="32"/>
          <w:highlight w:val="none"/>
          <w:lang w:val="en-US" w:eastAsia="zh-CN" w:bidi="ar-SA"/>
        </w:rPr>
        <w:t>街道</w:t>
      </w:r>
      <w:r>
        <w:rPr>
          <w:rFonts w:hint="eastAsia" w:ascii="Times New Roman" w:hAnsi="Times New Roman" w:eastAsia="仿宋_GB2312" w:cs="Times New Roman"/>
          <w:b w:val="0"/>
          <w:bCs w:val="0"/>
          <w:color w:val="auto"/>
          <w:kern w:val="2"/>
          <w:sz w:val="32"/>
          <w:szCs w:val="32"/>
          <w:highlight w:val="none"/>
          <w:lang w:val="zh-CN" w:eastAsia="zh-CN" w:bidi="ar-SA"/>
        </w:rPr>
        <w:t>利民西路6号。法定代表人：</w:t>
      </w:r>
      <w:r>
        <w:rPr>
          <w:rFonts w:hint="eastAsia" w:ascii="Times New Roman" w:hAnsi="Times New Roman" w:eastAsia="仿宋_GB2312" w:cs="Times New Roman"/>
          <w:b w:val="0"/>
          <w:bCs w:val="0"/>
          <w:color w:val="auto"/>
          <w:kern w:val="2"/>
          <w:sz w:val="32"/>
          <w:szCs w:val="32"/>
          <w:highlight w:val="none"/>
          <w:lang w:val="en-US" w:eastAsia="zh-CN" w:bidi="ar-SA"/>
        </w:rPr>
        <w:t>徐红伟</w:t>
      </w:r>
      <w:r>
        <w:rPr>
          <w:rFonts w:hint="eastAsia" w:ascii="Times New Roman" w:hAnsi="Times New Roman" w:eastAsia="仿宋_GB2312" w:cs="Times New Roman"/>
          <w:b w:val="0"/>
          <w:bCs w:val="0"/>
          <w:color w:val="auto"/>
          <w:kern w:val="2"/>
          <w:sz w:val="32"/>
          <w:szCs w:val="32"/>
          <w:highlight w:val="none"/>
          <w:lang w:val="zh-CN" w:eastAsia="zh-CN" w:bidi="ar-SA"/>
        </w:rPr>
        <w:t>。注册资本5000万元人民币。控股股东为江苏晶都投资集团有限公司，实际控制人、最终受益人为徐旨文，无一致行动人。主营业务为：钢铁、公路、桥梁、市政、水利水电、土石方工程等。</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zh-CN"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3.江苏农村商业联合银行股份有限公司，</w:t>
      </w:r>
      <w:r>
        <w:rPr>
          <w:rFonts w:hint="eastAsia" w:ascii="Times New Roman" w:hAnsi="Times New Roman" w:eastAsia="仿宋_GB2312" w:cs="Times New Roman"/>
          <w:b w:val="0"/>
          <w:bCs w:val="0"/>
          <w:color w:val="auto"/>
          <w:kern w:val="2"/>
          <w:sz w:val="32"/>
          <w:szCs w:val="32"/>
          <w:highlight w:val="none"/>
          <w:lang w:val="zh-CN" w:eastAsia="zh-CN" w:bidi="ar-SA"/>
        </w:rPr>
        <w:t>持股总额</w:t>
      </w:r>
      <w:r>
        <w:rPr>
          <w:rFonts w:hint="default" w:ascii="Times New Roman" w:hAnsi="Times New Roman" w:eastAsia="仿宋_GB2312" w:cs="Times New Roman"/>
          <w:b w:val="0"/>
          <w:bCs w:val="0"/>
          <w:color w:val="auto"/>
          <w:kern w:val="2"/>
          <w:sz w:val="32"/>
          <w:szCs w:val="32"/>
          <w:highlight w:val="none"/>
          <w:lang w:val="en-US" w:eastAsia="zh-CN" w:bidi="ar-SA"/>
        </w:rPr>
        <w:t>3511</w:t>
      </w:r>
      <w:r>
        <w:rPr>
          <w:rFonts w:hint="eastAsia" w:ascii="Times New Roman" w:hAnsi="Times New Roman" w:eastAsia="仿宋_GB2312" w:cs="Times New Roman"/>
          <w:b w:val="0"/>
          <w:bCs w:val="0"/>
          <w:color w:val="auto"/>
          <w:kern w:val="2"/>
          <w:sz w:val="32"/>
          <w:szCs w:val="32"/>
          <w:highlight w:val="none"/>
          <w:lang w:val="en-US" w:eastAsia="zh-CN" w:bidi="ar-SA"/>
        </w:rPr>
        <w:t>.</w:t>
      </w:r>
      <w:r>
        <w:rPr>
          <w:rFonts w:hint="default" w:ascii="Times New Roman" w:hAnsi="Times New Roman" w:eastAsia="仿宋_GB2312" w:cs="Times New Roman"/>
          <w:b w:val="0"/>
          <w:bCs w:val="0"/>
          <w:color w:val="auto"/>
          <w:kern w:val="2"/>
          <w:sz w:val="32"/>
          <w:szCs w:val="32"/>
          <w:highlight w:val="none"/>
          <w:lang w:val="en-US" w:eastAsia="zh-CN" w:bidi="ar-SA"/>
        </w:rPr>
        <w:t>5487</w:t>
      </w:r>
      <w:r>
        <w:rPr>
          <w:rFonts w:hint="eastAsia" w:ascii="Times New Roman" w:hAnsi="Times New Roman" w:eastAsia="仿宋_GB2312" w:cs="Times New Roman"/>
          <w:b w:val="0"/>
          <w:bCs w:val="0"/>
          <w:color w:val="auto"/>
          <w:kern w:val="2"/>
          <w:sz w:val="32"/>
          <w:szCs w:val="32"/>
          <w:highlight w:val="none"/>
          <w:lang w:val="zh-CN" w:eastAsia="zh-CN" w:bidi="ar-SA"/>
        </w:rPr>
        <w:t>万股，持股占比</w:t>
      </w:r>
      <w:r>
        <w:rPr>
          <w:rFonts w:hint="eastAsia" w:ascii="Times New Roman" w:hAnsi="Times New Roman" w:eastAsia="仿宋_GB2312" w:cs="Times New Roman"/>
          <w:b w:val="0"/>
          <w:bCs w:val="0"/>
          <w:color w:val="auto"/>
          <w:kern w:val="2"/>
          <w:sz w:val="32"/>
          <w:szCs w:val="32"/>
          <w:highlight w:val="none"/>
          <w:lang w:val="en-US" w:eastAsia="zh-CN" w:bidi="ar-SA"/>
        </w:rPr>
        <w:t>7.86</w:t>
      </w:r>
      <w:r>
        <w:rPr>
          <w:rFonts w:hint="eastAsia" w:ascii="Times New Roman" w:hAnsi="Times New Roman" w:eastAsia="仿宋_GB2312" w:cs="Times New Roman"/>
          <w:b w:val="0"/>
          <w:bCs w:val="0"/>
          <w:color w:val="auto"/>
          <w:kern w:val="2"/>
          <w:sz w:val="32"/>
          <w:szCs w:val="32"/>
          <w:highlight w:val="none"/>
          <w:lang w:val="zh-CN"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zh-CN"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江苏农村商业联合银行股份有限公司，由江苏省联社改制而来，于2025年4月8日经江苏监管局批准成立。公司地址：南京市江东中路</w:t>
      </w:r>
      <w:r>
        <w:rPr>
          <w:rFonts w:hint="default" w:ascii="Times New Roman" w:hAnsi="Times New Roman" w:eastAsia="仿宋_GB2312" w:cs="Times New Roman"/>
          <w:b w:val="0"/>
          <w:bCs w:val="0"/>
          <w:color w:val="auto"/>
          <w:kern w:val="2"/>
          <w:sz w:val="32"/>
          <w:szCs w:val="32"/>
          <w:highlight w:val="none"/>
          <w:lang w:val="en-US" w:eastAsia="zh-CN" w:bidi="ar-SA"/>
        </w:rPr>
        <w:t>395</w:t>
      </w:r>
      <w:r>
        <w:rPr>
          <w:rFonts w:hint="eastAsia" w:ascii="Times New Roman" w:hAnsi="Times New Roman" w:eastAsia="仿宋_GB2312" w:cs="Times New Roman"/>
          <w:b w:val="0"/>
          <w:bCs w:val="0"/>
          <w:color w:val="auto"/>
          <w:kern w:val="2"/>
          <w:sz w:val="32"/>
          <w:szCs w:val="32"/>
          <w:highlight w:val="none"/>
          <w:lang w:val="en-US" w:eastAsia="zh-CN" w:bidi="ar-SA"/>
        </w:rPr>
        <w:t>号。法定代表人：胡建斌。注册资本</w:t>
      </w:r>
      <w:r>
        <w:rPr>
          <w:rFonts w:hint="default" w:ascii="Times New Roman" w:hAnsi="Times New Roman" w:eastAsia="仿宋_GB2312" w:cs="Times New Roman"/>
          <w:b w:val="0"/>
          <w:bCs w:val="0"/>
          <w:color w:val="auto"/>
          <w:kern w:val="2"/>
          <w:sz w:val="32"/>
          <w:szCs w:val="32"/>
          <w:highlight w:val="none"/>
          <w:lang w:val="en-US" w:eastAsia="zh-CN" w:bidi="ar-SA"/>
        </w:rPr>
        <w:t>770000</w:t>
      </w:r>
      <w:r>
        <w:rPr>
          <w:rFonts w:hint="eastAsia" w:ascii="Times New Roman" w:hAnsi="Times New Roman" w:eastAsia="仿宋_GB2312" w:cs="Times New Roman"/>
          <w:b w:val="0"/>
          <w:bCs w:val="0"/>
          <w:color w:val="auto"/>
          <w:kern w:val="2"/>
          <w:sz w:val="32"/>
          <w:szCs w:val="32"/>
          <w:highlight w:val="none"/>
          <w:lang w:val="en-US" w:eastAsia="zh-CN" w:bidi="ar-SA"/>
        </w:rPr>
        <w:t>万元人民币。</w:t>
      </w:r>
      <w:r>
        <w:rPr>
          <w:rFonts w:hint="eastAsia" w:ascii="Times New Roman" w:hAnsi="Times New Roman" w:eastAsia="仿宋_GB2312" w:cs="Times New Roman"/>
          <w:b w:val="0"/>
          <w:bCs w:val="0"/>
          <w:color w:val="auto"/>
          <w:kern w:val="2"/>
          <w:sz w:val="32"/>
          <w:szCs w:val="32"/>
          <w:highlight w:val="none"/>
          <w:lang w:val="zh-CN" w:eastAsia="zh-CN" w:bidi="ar-SA"/>
        </w:rPr>
        <w:t>主营业务为</w:t>
      </w:r>
      <w:r>
        <w:rPr>
          <w:rFonts w:hint="eastAsia" w:ascii="Times New Roman" w:hAnsi="Times New Roman" w:eastAsia="仿宋_GB2312" w:cs="Times New Roman"/>
          <w:b w:val="0"/>
          <w:bCs w:val="0"/>
          <w:color w:val="auto"/>
          <w:kern w:val="2"/>
          <w:sz w:val="32"/>
          <w:szCs w:val="32"/>
          <w:highlight w:val="none"/>
          <w:lang w:val="en-US" w:eastAsia="zh-CN" w:bidi="ar-SA"/>
        </w:rPr>
        <w:t>组织农村商业银行之间的资金调剂；参加资金市场，为农村商业银行融通资金；开展同业拆借；办理或代理农村商业银行的资金清算和结算业务；买卖政府债券、金融债券；从事统一银行卡（贷记卡）品牌业务；代理发行、代理兑付、承销政府债券；办理经金融监督管理部门批准的其他业务。同时持有高邮农商银行、句容农商银行、赣榆农商银行等其他金融机构股权。</w:t>
      </w:r>
    </w:p>
    <w:p>
      <w:pPr>
        <w:spacing w:line="480" w:lineRule="exact"/>
        <w:ind w:firstLine="640" w:firstLineChars="200"/>
        <w:rPr>
          <w:rFonts w:ascii="黑体" w:hAnsi="黑体" w:eastAsia="黑体" w:cs="Tahoma"/>
          <w:color w:val="auto"/>
          <w:kern w:val="0"/>
          <w:sz w:val="30"/>
          <w:szCs w:val="30"/>
          <w:highlight w:val="none"/>
        </w:rPr>
      </w:pPr>
      <w:r>
        <w:rPr>
          <w:rFonts w:hint="eastAsia" w:ascii="黑体" w:hAnsi="黑体" w:eastAsia="黑体" w:cs="Tahoma"/>
          <w:color w:val="auto"/>
          <w:kern w:val="0"/>
          <w:sz w:val="32"/>
          <w:szCs w:val="32"/>
          <w:highlight w:val="none"/>
          <w:lang w:val="en-US" w:eastAsia="zh-CN" w:bidi="ar-SA"/>
        </w:rPr>
        <w:t>四、现任董事、高级管理人员基本情况</w:t>
      </w:r>
    </w:p>
    <w:tbl>
      <w:tblPr>
        <w:tblStyle w:val="27"/>
        <w:tblW w:w="864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701"/>
        <w:gridCol w:w="709"/>
        <w:gridCol w:w="1466"/>
        <w:gridCol w:w="3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职务</w:t>
            </w:r>
          </w:p>
        </w:tc>
        <w:tc>
          <w:tcPr>
            <w:tcW w:w="7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性别</w:t>
            </w:r>
          </w:p>
        </w:tc>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学历</w:t>
            </w:r>
          </w:p>
        </w:tc>
        <w:tc>
          <w:tcPr>
            <w:tcW w:w="392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任职/兼职情况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王良新</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董事长</w:t>
            </w:r>
          </w:p>
        </w:tc>
        <w:tc>
          <w:tcPr>
            <w:tcW w:w="7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男</w:t>
            </w:r>
          </w:p>
        </w:tc>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本科</w:t>
            </w:r>
          </w:p>
        </w:tc>
        <w:tc>
          <w:tcPr>
            <w:tcW w:w="3920" w:type="dxa"/>
            <w:tcBorders>
              <w:top w:val="single" w:color="auto" w:sz="4" w:space="0"/>
              <w:left w:val="single" w:color="auto" w:sz="4" w:space="0"/>
              <w:bottom w:val="single" w:color="auto" w:sz="4" w:space="0"/>
              <w:right w:val="single" w:color="auto" w:sz="4" w:space="0"/>
            </w:tcBorders>
            <w:vAlign w:val="center"/>
          </w:tcPr>
          <w:p>
            <w:pPr>
              <w:spacing w:line="280" w:lineRule="atLeast"/>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江苏东海农村商业银行股份有限公司董事长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邹  兵</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董事（行长）</w:t>
            </w:r>
          </w:p>
        </w:tc>
        <w:tc>
          <w:tcPr>
            <w:tcW w:w="7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男</w:t>
            </w:r>
          </w:p>
        </w:tc>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FF0000"/>
                <w:sz w:val="18"/>
                <w:szCs w:val="18"/>
                <w:highlight w:val="none"/>
              </w:rPr>
            </w:pPr>
            <w:r>
              <w:rPr>
                <w:rFonts w:hint="eastAsia" w:ascii="宋体" w:hAnsi="宋体" w:eastAsia="宋体" w:cs="宋体"/>
                <w:color w:val="auto"/>
                <w:sz w:val="18"/>
                <w:szCs w:val="18"/>
                <w:highlight w:val="none"/>
              </w:rPr>
              <w:t>硕士研究生</w:t>
            </w:r>
          </w:p>
        </w:tc>
        <w:tc>
          <w:tcPr>
            <w:tcW w:w="3920" w:type="dxa"/>
            <w:tcBorders>
              <w:top w:val="single" w:color="auto" w:sz="4" w:space="0"/>
              <w:left w:val="single" w:color="auto" w:sz="4" w:space="0"/>
              <w:bottom w:val="single" w:color="auto" w:sz="4" w:space="0"/>
              <w:right w:val="single" w:color="auto" w:sz="4" w:space="0"/>
            </w:tcBorders>
            <w:vAlign w:val="center"/>
          </w:tcPr>
          <w:p>
            <w:pPr>
              <w:spacing w:line="280" w:lineRule="atLeast"/>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江苏东海农村商业银行股份有限公司行长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申俊喜</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独立董事</w:t>
            </w:r>
          </w:p>
        </w:tc>
        <w:tc>
          <w:tcPr>
            <w:tcW w:w="7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男</w:t>
            </w:r>
          </w:p>
        </w:tc>
        <w:tc>
          <w:tcPr>
            <w:tcW w:w="146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博士研究生</w:t>
            </w:r>
          </w:p>
        </w:tc>
        <w:tc>
          <w:tcPr>
            <w:tcW w:w="392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南京师范大学商学院教授、泗阳农商行独立董事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辛长青</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独立董事</w:t>
            </w:r>
          </w:p>
        </w:tc>
        <w:tc>
          <w:tcPr>
            <w:tcW w:w="7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男</w:t>
            </w:r>
          </w:p>
        </w:tc>
        <w:tc>
          <w:tcPr>
            <w:tcW w:w="146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硕士研究生</w:t>
            </w:r>
          </w:p>
        </w:tc>
        <w:tc>
          <w:tcPr>
            <w:tcW w:w="392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江苏海洋大学教师、江苏海郡律师事务所律师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马涛</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独立董事</w:t>
            </w:r>
          </w:p>
        </w:tc>
        <w:tc>
          <w:tcPr>
            <w:tcW w:w="7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男</w:t>
            </w:r>
          </w:p>
        </w:tc>
        <w:tc>
          <w:tcPr>
            <w:tcW w:w="146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博士研究生</w:t>
            </w:r>
          </w:p>
        </w:tc>
        <w:tc>
          <w:tcPr>
            <w:tcW w:w="392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复旦大学经济学院教授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彭娟</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独立董事</w:t>
            </w:r>
          </w:p>
        </w:tc>
        <w:tc>
          <w:tcPr>
            <w:tcW w:w="7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女</w:t>
            </w:r>
          </w:p>
        </w:tc>
        <w:tc>
          <w:tcPr>
            <w:tcW w:w="146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博士研究生</w:t>
            </w:r>
          </w:p>
        </w:tc>
        <w:tc>
          <w:tcPr>
            <w:tcW w:w="392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上海交通大学会计系副教授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2"/>
                <w:sz w:val="18"/>
                <w:szCs w:val="18"/>
                <w:highlight w:val="none"/>
                <w:lang w:val="en-US" w:eastAsia="zh-CN" w:bidi="ar-SA"/>
              </w:rPr>
            </w:pPr>
            <w:r>
              <w:rPr>
                <w:rFonts w:hint="eastAsia" w:ascii="宋体" w:hAnsi="宋体" w:cs="宋体"/>
                <w:color w:val="auto"/>
                <w:sz w:val="18"/>
                <w:szCs w:val="18"/>
                <w:highlight w:val="none"/>
                <w:lang w:val="en-US" w:eastAsia="zh-CN"/>
              </w:rPr>
              <w:t>费国栋</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董事</w:t>
            </w:r>
          </w:p>
        </w:tc>
        <w:tc>
          <w:tcPr>
            <w:tcW w:w="7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男</w:t>
            </w:r>
          </w:p>
        </w:tc>
        <w:tc>
          <w:tcPr>
            <w:tcW w:w="146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2"/>
                <w:sz w:val="18"/>
                <w:szCs w:val="18"/>
                <w:highlight w:val="none"/>
                <w:lang w:val="en-US" w:eastAsia="zh-CN" w:bidi="ar-SA"/>
              </w:rPr>
            </w:pPr>
            <w:r>
              <w:rPr>
                <w:rFonts w:hint="eastAsia" w:ascii="宋体" w:hAnsi="宋体" w:cs="宋体"/>
                <w:color w:val="auto"/>
                <w:sz w:val="18"/>
                <w:szCs w:val="18"/>
                <w:highlight w:val="none"/>
                <w:lang w:val="en-US" w:eastAsia="zh-CN"/>
              </w:rPr>
              <w:t>本科</w:t>
            </w:r>
          </w:p>
        </w:tc>
        <w:tc>
          <w:tcPr>
            <w:tcW w:w="392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eastAsia="zh-CN"/>
              </w:rPr>
              <w:t>无锡农村商业银行董事、董事会秘书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许向阳</w:t>
            </w:r>
          </w:p>
        </w:tc>
        <w:tc>
          <w:tcPr>
            <w:tcW w:w="170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董事</w:t>
            </w:r>
          </w:p>
        </w:tc>
        <w:tc>
          <w:tcPr>
            <w:tcW w:w="7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男</w:t>
            </w:r>
          </w:p>
        </w:tc>
        <w:tc>
          <w:tcPr>
            <w:tcW w:w="146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高中</w:t>
            </w:r>
          </w:p>
        </w:tc>
        <w:tc>
          <w:tcPr>
            <w:tcW w:w="392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江苏金红新材料有限公司副董事长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杨新宇</w:t>
            </w:r>
          </w:p>
        </w:tc>
        <w:tc>
          <w:tcPr>
            <w:tcW w:w="1701"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副行长</w:t>
            </w:r>
          </w:p>
        </w:tc>
        <w:tc>
          <w:tcPr>
            <w:tcW w:w="709"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男</w:t>
            </w:r>
          </w:p>
        </w:tc>
        <w:tc>
          <w:tcPr>
            <w:tcW w:w="1466"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本科</w:t>
            </w:r>
          </w:p>
        </w:tc>
        <w:tc>
          <w:tcPr>
            <w:tcW w:w="3920" w:type="dxa"/>
            <w:vAlign w:val="center"/>
          </w:tcPr>
          <w:p>
            <w:pPr>
              <w:spacing w:line="300" w:lineRule="exact"/>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江苏东海农村商业银行股份有限公司副行长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蔡连军</w:t>
            </w:r>
          </w:p>
        </w:tc>
        <w:tc>
          <w:tcPr>
            <w:tcW w:w="1701"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副行长</w:t>
            </w:r>
          </w:p>
        </w:tc>
        <w:tc>
          <w:tcPr>
            <w:tcW w:w="709"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男</w:t>
            </w:r>
          </w:p>
        </w:tc>
        <w:tc>
          <w:tcPr>
            <w:tcW w:w="1466"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本科</w:t>
            </w:r>
          </w:p>
        </w:tc>
        <w:tc>
          <w:tcPr>
            <w:tcW w:w="3920" w:type="dxa"/>
            <w:vAlign w:val="center"/>
          </w:tcPr>
          <w:p>
            <w:pPr>
              <w:spacing w:line="300" w:lineRule="exact"/>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江苏东海农村商业银行股份有限公司副行长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Align w:val="center"/>
          </w:tcPr>
          <w:p>
            <w:pPr>
              <w:spacing w:line="300" w:lineRule="exact"/>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杨轩</w:t>
            </w:r>
          </w:p>
        </w:tc>
        <w:tc>
          <w:tcPr>
            <w:tcW w:w="1701"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副行长</w:t>
            </w:r>
          </w:p>
        </w:tc>
        <w:tc>
          <w:tcPr>
            <w:tcW w:w="709"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男</w:t>
            </w:r>
          </w:p>
        </w:tc>
        <w:tc>
          <w:tcPr>
            <w:tcW w:w="1466" w:type="dxa"/>
            <w:vAlign w:val="center"/>
          </w:tcPr>
          <w:p>
            <w:pPr>
              <w:spacing w:line="300" w:lineRule="exact"/>
              <w:jc w:val="center"/>
              <w:rPr>
                <w:rFonts w:hint="eastAsia" w:ascii="宋体" w:hAnsi="宋体" w:eastAsia="宋体" w:cs="宋体"/>
                <w:color w:val="auto"/>
                <w:sz w:val="18"/>
                <w:szCs w:val="18"/>
                <w:highlight w:val="yellow"/>
              </w:rPr>
            </w:pPr>
            <w:r>
              <w:rPr>
                <w:rFonts w:hint="eastAsia" w:ascii="宋体" w:hAnsi="宋体" w:eastAsia="宋体" w:cs="宋体"/>
                <w:color w:val="auto"/>
                <w:sz w:val="18"/>
                <w:szCs w:val="18"/>
                <w:highlight w:val="none"/>
              </w:rPr>
              <w:t>本科</w:t>
            </w:r>
          </w:p>
        </w:tc>
        <w:tc>
          <w:tcPr>
            <w:tcW w:w="3920" w:type="dxa"/>
            <w:vAlign w:val="center"/>
          </w:tcPr>
          <w:p>
            <w:pPr>
              <w:spacing w:line="300" w:lineRule="exact"/>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江苏东海农村商业银行股份有限公司副行长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Align w:val="center"/>
          </w:tcPr>
          <w:p>
            <w:pPr>
              <w:spacing w:line="30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万雪艳</w:t>
            </w:r>
          </w:p>
        </w:tc>
        <w:tc>
          <w:tcPr>
            <w:tcW w:w="1701" w:type="dxa"/>
            <w:vAlign w:val="center"/>
          </w:tcPr>
          <w:p>
            <w:pPr>
              <w:spacing w:line="30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计划财务部总经理</w:t>
            </w:r>
          </w:p>
        </w:tc>
        <w:tc>
          <w:tcPr>
            <w:tcW w:w="709" w:type="dxa"/>
            <w:vAlign w:val="center"/>
          </w:tcPr>
          <w:p>
            <w:pPr>
              <w:spacing w:line="300" w:lineRule="exact"/>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女</w:t>
            </w:r>
          </w:p>
        </w:tc>
        <w:tc>
          <w:tcPr>
            <w:tcW w:w="1466"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本科</w:t>
            </w:r>
          </w:p>
        </w:tc>
        <w:tc>
          <w:tcPr>
            <w:tcW w:w="3920" w:type="dxa"/>
            <w:vAlign w:val="center"/>
          </w:tcPr>
          <w:p>
            <w:pPr>
              <w:spacing w:line="300" w:lineRule="exact"/>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江苏东海农村商业银行股份有限公司计划财务部总经理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Align w:val="center"/>
          </w:tcPr>
          <w:p>
            <w:pPr>
              <w:spacing w:line="300" w:lineRule="exact"/>
              <w:jc w:val="center"/>
              <w:rPr>
                <w:rFonts w:hint="eastAsia" w:ascii="宋体" w:hAnsi="宋体" w:eastAsia="宋体" w:cs="宋体"/>
                <w:color w:val="auto"/>
                <w:sz w:val="18"/>
                <w:szCs w:val="18"/>
                <w:highlight w:val="none"/>
                <w:lang w:eastAsia="zh-CN"/>
              </w:rPr>
            </w:pPr>
            <w:bookmarkStart w:id="24" w:name="_GoBack"/>
            <w:r>
              <w:rPr>
                <w:rFonts w:hint="eastAsia" w:ascii="宋体" w:hAnsi="宋体" w:eastAsia="宋体" w:cs="宋体"/>
                <w:color w:val="auto"/>
                <w:sz w:val="18"/>
                <w:szCs w:val="18"/>
                <w:highlight w:val="none"/>
                <w:lang w:eastAsia="zh-CN"/>
              </w:rPr>
              <w:t>徐敬</w:t>
            </w:r>
            <w:bookmarkEnd w:id="24"/>
            <w:r>
              <w:rPr>
                <w:rFonts w:hint="eastAsia" w:ascii="宋体" w:hAnsi="宋体" w:eastAsia="宋体" w:cs="宋体"/>
                <w:color w:val="auto"/>
                <w:sz w:val="18"/>
                <w:szCs w:val="18"/>
                <w:highlight w:val="none"/>
                <w:lang w:eastAsia="zh-CN"/>
              </w:rPr>
              <w:t>仁</w:t>
            </w:r>
          </w:p>
        </w:tc>
        <w:tc>
          <w:tcPr>
            <w:tcW w:w="1701"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合规</w:t>
            </w:r>
            <w:r>
              <w:rPr>
                <w:rFonts w:hint="eastAsia" w:ascii="宋体" w:hAnsi="宋体" w:eastAsia="宋体" w:cs="宋体"/>
                <w:color w:val="auto"/>
                <w:sz w:val="18"/>
                <w:szCs w:val="18"/>
                <w:highlight w:val="none"/>
                <w:lang w:eastAsia="zh-CN"/>
              </w:rPr>
              <w:t>管理</w:t>
            </w:r>
            <w:r>
              <w:rPr>
                <w:rFonts w:hint="eastAsia" w:ascii="宋体" w:hAnsi="宋体" w:eastAsia="宋体" w:cs="宋体"/>
                <w:color w:val="auto"/>
                <w:sz w:val="18"/>
                <w:szCs w:val="18"/>
                <w:highlight w:val="none"/>
              </w:rPr>
              <w:t>部总经理</w:t>
            </w:r>
          </w:p>
        </w:tc>
        <w:tc>
          <w:tcPr>
            <w:tcW w:w="709"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男</w:t>
            </w:r>
          </w:p>
        </w:tc>
        <w:tc>
          <w:tcPr>
            <w:tcW w:w="1466"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本科</w:t>
            </w:r>
          </w:p>
        </w:tc>
        <w:tc>
          <w:tcPr>
            <w:tcW w:w="3920" w:type="dxa"/>
            <w:vAlign w:val="center"/>
          </w:tcPr>
          <w:p>
            <w:pPr>
              <w:spacing w:line="300" w:lineRule="exact"/>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江苏东海农村商业银行股份有限公司合规</w:t>
            </w:r>
            <w:r>
              <w:rPr>
                <w:rFonts w:hint="eastAsia" w:ascii="宋体" w:hAnsi="宋体" w:eastAsia="宋体" w:cs="宋体"/>
                <w:color w:val="auto"/>
                <w:sz w:val="18"/>
                <w:szCs w:val="18"/>
                <w:highlight w:val="none"/>
                <w:lang w:eastAsia="zh-CN"/>
              </w:rPr>
              <w:t>管理</w:t>
            </w:r>
            <w:r>
              <w:rPr>
                <w:rFonts w:hint="eastAsia" w:ascii="宋体" w:hAnsi="宋体" w:eastAsia="宋体" w:cs="宋体"/>
                <w:color w:val="auto"/>
                <w:sz w:val="18"/>
                <w:szCs w:val="18"/>
                <w:highlight w:val="none"/>
              </w:rPr>
              <w:t>部总经理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李志伟</w:t>
            </w:r>
          </w:p>
        </w:tc>
        <w:tc>
          <w:tcPr>
            <w:tcW w:w="1701"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审计部总经理</w:t>
            </w:r>
          </w:p>
        </w:tc>
        <w:tc>
          <w:tcPr>
            <w:tcW w:w="709"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男</w:t>
            </w:r>
          </w:p>
        </w:tc>
        <w:tc>
          <w:tcPr>
            <w:tcW w:w="1466" w:type="dxa"/>
            <w:vAlign w:val="center"/>
          </w:tcPr>
          <w:p>
            <w:pPr>
              <w:spacing w:line="30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硕士研究生</w:t>
            </w:r>
          </w:p>
        </w:tc>
        <w:tc>
          <w:tcPr>
            <w:tcW w:w="3920" w:type="dxa"/>
            <w:vAlign w:val="center"/>
          </w:tcPr>
          <w:p>
            <w:pPr>
              <w:spacing w:line="300" w:lineRule="exact"/>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江苏东海农村商业银行股份有限公司审计部总经理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Align w:val="center"/>
          </w:tcPr>
          <w:p>
            <w:pPr>
              <w:spacing w:line="30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吴征</w:t>
            </w:r>
          </w:p>
        </w:tc>
        <w:tc>
          <w:tcPr>
            <w:tcW w:w="1701" w:type="dxa"/>
            <w:vAlign w:val="center"/>
          </w:tcPr>
          <w:p>
            <w:pPr>
              <w:spacing w:line="300" w:lineRule="exact"/>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eastAsia="zh-CN"/>
              </w:rPr>
              <w:t>董事会秘书</w:t>
            </w:r>
          </w:p>
        </w:tc>
        <w:tc>
          <w:tcPr>
            <w:tcW w:w="709" w:type="dxa"/>
            <w:vAlign w:val="center"/>
          </w:tcPr>
          <w:p>
            <w:pPr>
              <w:spacing w:line="300" w:lineRule="exact"/>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eastAsia="zh-CN"/>
              </w:rPr>
              <w:t>女</w:t>
            </w:r>
          </w:p>
        </w:tc>
        <w:tc>
          <w:tcPr>
            <w:tcW w:w="1466" w:type="dxa"/>
            <w:vAlign w:val="center"/>
          </w:tcPr>
          <w:p>
            <w:pPr>
              <w:spacing w:line="300" w:lineRule="exact"/>
              <w:jc w:val="center"/>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硕士研究生</w:t>
            </w:r>
          </w:p>
        </w:tc>
        <w:tc>
          <w:tcPr>
            <w:tcW w:w="3920" w:type="dxa"/>
            <w:vAlign w:val="center"/>
          </w:tcPr>
          <w:p>
            <w:pPr>
              <w:spacing w:line="300" w:lineRule="exact"/>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江苏东海农村商业银行股份有限公司</w:t>
            </w:r>
            <w:r>
              <w:rPr>
                <w:rFonts w:hint="eastAsia" w:ascii="宋体" w:hAnsi="宋体" w:eastAsia="宋体" w:cs="宋体"/>
                <w:color w:val="auto"/>
                <w:sz w:val="18"/>
                <w:szCs w:val="18"/>
                <w:highlight w:val="none"/>
                <w:lang w:eastAsia="zh-CN"/>
              </w:rPr>
              <w:t>董事会秘书</w:t>
            </w:r>
          </w:p>
        </w:tc>
      </w:tr>
    </w:tbl>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Tahoma"/>
          <w:color w:val="auto"/>
          <w:kern w:val="0"/>
          <w:sz w:val="32"/>
          <w:szCs w:val="32"/>
          <w:highlight w:val="none"/>
          <w:lang w:val="en-US" w:eastAsia="zh-CN" w:bidi="ar-SA"/>
        </w:rPr>
      </w:pPr>
      <w:r>
        <w:rPr>
          <w:rFonts w:hint="eastAsia" w:ascii="黑体" w:hAnsi="黑体" w:eastAsia="黑体" w:cs="Tahoma"/>
          <w:color w:val="auto"/>
          <w:kern w:val="0"/>
          <w:sz w:val="32"/>
          <w:szCs w:val="32"/>
          <w:highlight w:val="none"/>
          <w:lang w:val="en-US" w:eastAsia="zh-CN" w:bidi="ar-SA"/>
        </w:rPr>
        <w:t>五、法人治理运作情况</w:t>
      </w:r>
    </w:p>
    <w:p>
      <w:pPr>
        <w:pStyle w:val="14"/>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宋体" w:eastAsia="楷体_GB2312"/>
          <w:b/>
          <w:bCs/>
          <w:color w:val="auto"/>
          <w:sz w:val="32"/>
          <w:szCs w:val="32"/>
          <w:highlight w:val="none"/>
          <w:lang w:eastAsia="zh-CN"/>
        </w:rPr>
      </w:pPr>
      <w:r>
        <w:rPr>
          <w:rFonts w:hint="eastAsia" w:ascii="楷体_GB2312" w:hAnsi="宋体" w:eastAsia="楷体_GB2312"/>
          <w:b/>
          <w:bCs/>
          <w:color w:val="auto"/>
          <w:sz w:val="32"/>
          <w:szCs w:val="32"/>
          <w:highlight w:val="none"/>
        </w:rPr>
        <w:t>（一）股东会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报告期内，本行召开股东会1次。2026年6月29日，召开了2025年度股东会，东海农商银行股东总数746人，所持股份数44704.959万股,其中有表决权股份数43568.1926万股。应到股东及股东代理人95人，其中有表决权股份数42771.9415万股；实际出席本次会议的股东及股东代理人共计92人，所持有表决权股份42373.7443万股，占有表决权股份总数的97.26%。会议审议并表决通过了《江苏东海农村商业银行202</w:t>
      </w:r>
      <w:r>
        <w:rPr>
          <w:rFonts w:hint="eastAsia" w:eastAsia="仿宋_GB2312" w:cs="Times New Roman"/>
          <w:color w:val="auto"/>
          <w:kern w:val="2"/>
          <w:sz w:val="32"/>
          <w:szCs w:val="32"/>
          <w:highlight w:val="none"/>
          <w:lang w:val="en-US" w:eastAsia="zh-CN" w:bidi="ar-SA"/>
        </w:rPr>
        <w:t>5</w:t>
      </w:r>
      <w:r>
        <w:rPr>
          <w:rFonts w:hint="eastAsia" w:ascii="Times New Roman" w:hAnsi="Times New Roman" w:eastAsia="仿宋_GB2312" w:cs="Times New Roman"/>
          <w:color w:val="auto"/>
          <w:kern w:val="2"/>
          <w:sz w:val="32"/>
          <w:szCs w:val="32"/>
          <w:highlight w:val="none"/>
          <w:lang w:val="en-US" w:eastAsia="zh-CN" w:bidi="ar-SA"/>
        </w:rPr>
        <w:t>年度董事会工作报告》《江苏东海农村商业银行202</w:t>
      </w:r>
      <w:r>
        <w:rPr>
          <w:rFonts w:hint="eastAsia" w:eastAsia="仿宋_GB2312" w:cs="Times New Roman"/>
          <w:color w:val="auto"/>
          <w:kern w:val="2"/>
          <w:sz w:val="32"/>
          <w:szCs w:val="32"/>
          <w:highlight w:val="none"/>
          <w:lang w:val="en-US" w:eastAsia="zh-CN" w:bidi="ar-SA"/>
        </w:rPr>
        <w:t>5</w:t>
      </w:r>
      <w:r>
        <w:rPr>
          <w:rFonts w:hint="eastAsia" w:ascii="Times New Roman" w:hAnsi="Times New Roman" w:eastAsia="仿宋_GB2312" w:cs="Times New Roman"/>
          <w:color w:val="auto"/>
          <w:kern w:val="2"/>
          <w:sz w:val="32"/>
          <w:szCs w:val="32"/>
          <w:highlight w:val="none"/>
          <w:lang w:val="en-US" w:eastAsia="zh-CN" w:bidi="ar-SA"/>
        </w:rPr>
        <w:t>年度利润分配方案》《江苏东海农村商业银行202</w:t>
      </w:r>
      <w:r>
        <w:rPr>
          <w:rFonts w:hint="eastAsia" w:eastAsia="仿宋_GB2312" w:cs="Times New Roman"/>
          <w:color w:val="auto"/>
          <w:kern w:val="2"/>
          <w:sz w:val="32"/>
          <w:szCs w:val="32"/>
          <w:highlight w:val="none"/>
          <w:lang w:val="en-US" w:eastAsia="zh-CN" w:bidi="ar-SA"/>
        </w:rPr>
        <w:t>5</w:t>
      </w:r>
      <w:r>
        <w:rPr>
          <w:rFonts w:hint="eastAsia" w:ascii="Times New Roman" w:hAnsi="Times New Roman" w:eastAsia="仿宋_GB2312" w:cs="Times New Roman"/>
          <w:color w:val="auto"/>
          <w:kern w:val="2"/>
          <w:sz w:val="32"/>
          <w:szCs w:val="32"/>
          <w:highlight w:val="none"/>
          <w:lang w:val="en-US" w:eastAsia="zh-CN" w:bidi="ar-SA"/>
        </w:rPr>
        <w:t>年度股金分红方案》等1</w:t>
      </w:r>
      <w:r>
        <w:rPr>
          <w:rFonts w:hint="eastAsia" w:eastAsia="仿宋_GB2312" w:cs="Times New Roman"/>
          <w:color w:val="auto"/>
          <w:kern w:val="2"/>
          <w:sz w:val="32"/>
          <w:szCs w:val="32"/>
          <w:highlight w:val="none"/>
          <w:lang w:val="en-US" w:eastAsia="zh-CN" w:bidi="ar-SA"/>
        </w:rPr>
        <w:t>5</w:t>
      </w:r>
      <w:r>
        <w:rPr>
          <w:rFonts w:hint="eastAsia" w:ascii="Times New Roman" w:hAnsi="Times New Roman" w:eastAsia="仿宋_GB2312" w:cs="Times New Roman"/>
          <w:color w:val="auto"/>
          <w:kern w:val="2"/>
          <w:sz w:val="32"/>
          <w:szCs w:val="32"/>
          <w:highlight w:val="none"/>
          <w:lang w:val="en-US" w:eastAsia="zh-CN" w:bidi="ar-SA"/>
        </w:rPr>
        <w:t>项议案</w:t>
      </w:r>
      <w:r>
        <w:rPr>
          <w:rFonts w:hint="eastAsia" w:eastAsia="仿宋_GB2312" w:cs="Times New Roman"/>
          <w:color w:val="auto"/>
          <w:kern w:val="2"/>
          <w:sz w:val="32"/>
          <w:szCs w:val="32"/>
          <w:highlight w:val="none"/>
          <w:lang w:val="en-US" w:eastAsia="zh-CN" w:bidi="ar-SA"/>
        </w:rPr>
        <w:t>并形成</w:t>
      </w:r>
      <w:r>
        <w:rPr>
          <w:rFonts w:hint="eastAsia" w:ascii="Times New Roman" w:hAnsi="Times New Roman" w:eastAsia="仿宋_GB2312" w:cs="Times New Roman"/>
          <w:color w:val="auto"/>
          <w:kern w:val="2"/>
          <w:sz w:val="32"/>
          <w:szCs w:val="32"/>
          <w:highlight w:val="none"/>
          <w:lang w:val="en-US" w:eastAsia="zh-CN" w:bidi="ar-SA"/>
        </w:rPr>
        <w:t>决议。</w:t>
      </w:r>
    </w:p>
    <w:p>
      <w:pPr>
        <w:pStyle w:val="14"/>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楷体_GB2312" w:hAnsi="宋体" w:eastAsia="楷体_GB2312"/>
          <w:b/>
          <w:bCs/>
          <w:color w:val="auto"/>
          <w:sz w:val="32"/>
          <w:szCs w:val="32"/>
          <w:highlight w:val="none"/>
          <w:lang w:eastAsia="zh-CN"/>
        </w:rPr>
        <w:t>（二）</w:t>
      </w:r>
      <w:r>
        <w:rPr>
          <w:rFonts w:hint="eastAsia" w:ascii="楷体_GB2312" w:hAnsi="宋体" w:eastAsia="楷体_GB2312"/>
          <w:b/>
          <w:bCs/>
          <w:color w:val="auto"/>
          <w:sz w:val="32"/>
          <w:szCs w:val="32"/>
          <w:highlight w:val="none"/>
        </w:rPr>
        <w:t>董事会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lang w:val="en-US" w:eastAsia="zh-CN" w:bidi="ar-SA"/>
        </w:rPr>
        <w:t>报告期内，本行共召开董事会例会2次、董事会临时会议</w:t>
      </w:r>
      <w:r>
        <w:rPr>
          <w:rFonts w:hint="eastAsia" w:eastAsia="仿宋_GB2312" w:cs="Times New Roman"/>
          <w:color w:val="auto"/>
          <w:kern w:val="2"/>
          <w:sz w:val="32"/>
          <w:szCs w:val="32"/>
          <w:highlight w:val="none"/>
          <w:lang w:val="en-US" w:eastAsia="zh-CN" w:bidi="ar-SA"/>
        </w:rPr>
        <w:t>3</w:t>
      </w:r>
      <w:r>
        <w:rPr>
          <w:rFonts w:hint="eastAsia" w:ascii="Times New Roman" w:hAnsi="Times New Roman" w:eastAsia="仿宋_GB2312" w:cs="Times New Roman"/>
          <w:color w:val="auto"/>
          <w:kern w:val="2"/>
          <w:sz w:val="32"/>
          <w:szCs w:val="32"/>
          <w:highlight w:val="none"/>
          <w:lang w:val="en-US" w:eastAsia="zh-CN" w:bidi="ar-SA"/>
        </w:rPr>
        <w:t>次。会议邀请本行高级管理层列席会议。重点对202</w:t>
      </w:r>
      <w:r>
        <w:rPr>
          <w:rFonts w:hint="eastAsia" w:eastAsia="仿宋_GB2312" w:cs="Times New Roman"/>
          <w:color w:val="auto"/>
          <w:kern w:val="2"/>
          <w:sz w:val="32"/>
          <w:szCs w:val="32"/>
          <w:highlight w:val="none"/>
          <w:lang w:val="en-US" w:eastAsia="zh-CN" w:bidi="ar-SA"/>
        </w:rPr>
        <w:t>5</w:t>
      </w:r>
      <w:r>
        <w:rPr>
          <w:rFonts w:hint="eastAsia" w:ascii="Times New Roman" w:hAnsi="Times New Roman" w:eastAsia="仿宋_GB2312" w:cs="Times New Roman"/>
          <w:color w:val="auto"/>
          <w:kern w:val="2"/>
          <w:sz w:val="32"/>
          <w:szCs w:val="32"/>
          <w:highlight w:val="none"/>
          <w:lang w:val="en-US" w:eastAsia="zh-CN" w:bidi="ar-SA"/>
        </w:rPr>
        <w:t>年度利润分配方案（草案）、202</w:t>
      </w:r>
      <w:r>
        <w:rPr>
          <w:rFonts w:hint="eastAsia" w:eastAsia="仿宋_GB2312" w:cs="Times New Roman"/>
          <w:color w:val="auto"/>
          <w:kern w:val="2"/>
          <w:sz w:val="32"/>
          <w:szCs w:val="32"/>
          <w:highlight w:val="none"/>
          <w:lang w:val="en-US" w:eastAsia="zh-CN" w:bidi="ar-SA"/>
        </w:rPr>
        <w:t>5</w:t>
      </w:r>
      <w:r>
        <w:rPr>
          <w:rFonts w:hint="eastAsia" w:ascii="Times New Roman" w:hAnsi="Times New Roman" w:eastAsia="仿宋_GB2312" w:cs="Times New Roman"/>
          <w:color w:val="auto"/>
          <w:kern w:val="2"/>
          <w:sz w:val="32"/>
          <w:szCs w:val="32"/>
          <w:highlight w:val="none"/>
          <w:lang w:val="en-US" w:eastAsia="zh-CN" w:bidi="ar-SA"/>
        </w:rPr>
        <w:t>度股金分红方案（草案）、关于修订《江苏东海农村商业银行股份有限公司章程》的议案（草案）等9</w:t>
      </w:r>
      <w:r>
        <w:rPr>
          <w:rFonts w:hint="eastAsia" w:eastAsia="仿宋_GB2312" w:cs="Times New Roman"/>
          <w:color w:val="auto"/>
          <w:kern w:val="2"/>
          <w:sz w:val="32"/>
          <w:szCs w:val="32"/>
          <w:highlight w:val="none"/>
          <w:lang w:val="en-US" w:eastAsia="zh-CN" w:bidi="ar-SA"/>
        </w:rPr>
        <w:t>9</w:t>
      </w:r>
      <w:r>
        <w:rPr>
          <w:rFonts w:hint="eastAsia" w:ascii="Times New Roman" w:hAnsi="Times New Roman" w:eastAsia="仿宋_GB2312" w:cs="Times New Roman"/>
          <w:color w:val="auto"/>
          <w:kern w:val="2"/>
          <w:sz w:val="32"/>
          <w:szCs w:val="32"/>
          <w:highlight w:val="none"/>
          <w:lang w:val="en-US" w:eastAsia="zh-CN" w:bidi="ar-SA"/>
        </w:rPr>
        <w:t>项重大事项进行了决策，形成了相关决议，对本行定位服务三农、支持业务发展转型等方面起到了重要的决策作用，有效发挥了董事会科学决策核心作用。本行董事会能够认真履行职责，积极参与本行重大问题的研究和决策，注重维护本行和全体股东的利益。本行各位董事在履行本行职务的过程中，能够诚信、忠实、谨慎、勤勉地履行本行职务；能够按照相关法律、法规、规章及本行章程的要求，认真履行职责，维护本行和全体股东的利益；能够持续地了解和关注本行情况，并对本行事务通过董事会及其专门委员会独立、专业、客观地提出议案或发表意见，报告期内董事积极撰写调研报告；能较为专业高效地履行职责，投入足够的时间和精力，持续了解本行生产经营和运作情况，主动获取做出决策所需要的情况和资料，充分掌握经营管理信息，坚持对重大事务作出独立的判断和决策。</w:t>
      </w:r>
    </w:p>
    <w:p>
      <w:pPr>
        <w:pStyle w:val="14"/>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宋体" w:eastAsia="楷体_GB2312"/>
          <w:b/>
          <w:bCs/>
          <w:color w:val="auto"/>
          <w:sz w:val="32"/>
          <w:szCs w:val="32"/>
          <w:highlight w:val="none"/>
          <w:lang w:val="en-US" w:eastAsia="zh-CN"/>
        </w:rPr>
      </w:pPr>
      <w:r>
        <w:rPr>
          <w:rFonts w:hint="eastAsia" w:ascii="楷体_GB2312" w:hAnsi="宋体" w:eastAsia="楷体_GB2312" w:cs="Times New Roman"/>
          <w:b/>
          <w:bCs/>
          <w:color w:val="auto"/>
          <w:sz w:val="32"/>
          <w:szCs w:val="32"/>
          <w:highlight w:val="none"/>
          <w:lang w:val="en-US" w:eastAsia="zh-CN"/>
        </w:rPr>
        <w:t>（三）高级管理层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1.本行高级管理层人员为：邹兵、杨新宇、蔡连军、杨轩。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2.本行其他高级管理人员：万雪艳、</w:t>
      </w:r>
      <w:r>
        <w:rPr>
          <w:rFonts w:hint="eastAsia" w:ascii="仿宋_GB2312" w:hAnsi="宋体" w:eastAsia="仿宋_GB2312"/>
          <w:color w:val="auto"/>
          <w:sz w:val="32"/>
          <w:szCs w:val="32"/>
          <w:highlight w:val="none"/>
          <w:lang w:val="en-US" w:eastAsia="zh-CN"/>
        </w:rPr>
        <w:t>吴征、徐敬仁、李志伟</w:t>
      </w:r>
      <w:r>
        <w:rPr>
          <w:rFonts w:hint="eastAsia" w:ascii="仿宋_GB2312" w:hAnsi="宋体" w:eastAsia="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3.本行高级管理层职责如下：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（1）行长对董事会负责，同时接受董事会</w:t>
      </w:r>
      <w:r>
        <w:rPr>
          <w:rFonts w:hint="eastAsia" w:ascii="仿宋_GB2312" w:hAnsi="宋体" w:eastAsia="仿宋_GB2312"/>
          <w:color w:val="auto"/>
          <w:sz w:val="32"/>
          <w:szCs w:val="32"/>
          <w:highlight w:val="none"/>
          <w:lang w:val="en-US" w:eastAsia="zh-CN"/>
        </w:rPr>
        <w:t>审计委员会</w:t>
      </w:r>
      <w:r>
        <w:rPr>
          <w:rFonts w:hint="eastAsia" w:ascii="仿宋_GB2312" w:hAnsi="宋体" w:eastAsia="仿宋_GB2312"/>
          <w:color w:val="auto"/>
          <w:sz w:val="32"/>
          <w:szCs w:val="32"/>
          <w:highlight w:val="none"/>
          <w:lang w:eastAsia="zh-CN"/>
        </w:rPr>
        <w:t>监督；主持本行的日常经营管理工作，并向董事会报告工作；组织实施董事会决议、本行年度经营计划和投资方案；拟订本行内部管理机构以及分支机构设置方案；拟订本行的基本管理制度；制定本行的具体规章制度；提名本行副行长和财务部门负责人、审计部门负责人、合规部门负责人，并报董事会聘任或者解聘；聘任或者解聘营业部负责人、支行行长、支行副行长及董事会职权以外的其他员工；决定除应由股东会、董事会决定以外的本行管理人员和员工的工资、福利、奖惩事项；授权高级管理层成员、内部各职能部门及分支机构负责人从事经营管理活动；制定全行各部门管理人员和业务人员的职业规范，明确具体的问责条款，建立相应的处理机制；在本行发生挤兑等重大突发事件时，采取紧急措施，并立即向银行业监督管理机构和董事会报告；法律、法规和本行章程规定，以及董事会授予的其他职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（2）在行长不能履行职权时，由副行长依序代为行使职权。副行长及其他应由行长授权的高级管理人员在行长的授权范围内行使职权和履行义务。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（3）高级管理层列席董事会会议，非董事高级管理层在董事会上没有表决权。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（4）高级管理层应当根据董事会的要求，定期向董事会提供有关本行经营业绩、重要合同、财务状况、经营前景等情况，并对报告的真实性负责。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（5）高级管理层应当遵守法律、行政法规和本章程的规定，履行诚信和勤勉的义务。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（6）高级管理层应当接受董事会</w:t>
      </w:r>
      <w:r>
        <w:rPr>
          <w:rFonts w:hint="eastAsia" w:ascii="仿宋_GB2312" w:hAnsi="宋体" w:eastAsia="仿宋_GB2312"/>
          <w:color w:val="auto"/>
          <w:sz w:val="32"/>
          <w:szCs w:val="32"/>
          <w:highlight w:val="none"/>
          <w:lang w:val="en-US" w:eastAsia="zh-CN"/>
        </w:rPr>
        <w:t>审计委员会</w:t>
      </w:r>
      <w:r>
        <w:rPr>
          <w:rFonts w:hint="eastAsia" w:ascii="仿宋_GB2312" w:hAnsi="宋体" w:eastAsia="仿宋_GB2312"/>
          <w:color w:val="auto"/>
          <w:sz w:val="32"/>
          <w:szCs w:val="32"/>
          <w:highlight w:val="none"/>
          <w:lang w:eastAsia="zh-CN"/>
        </w:rPr>
        <w:t>监督，不得阻碍、妨碍董事会</w:t>
      </w:r>
      <w:r>
        <w:rPr>
          <w:rFonts w:hint="eastAsia" w:ascii="仿宋_GB2312" w:hAnsi="宋体" w:eastAsia="仿宋_GB2312"/>
          <w:color w:val="auto"/>
          <w:sz w:val="32"/>
          <w:szCs w:val="32"/>
          <w:highlight w:val="none"/>
          <w:lang w:val="en-US" w:eastAsia="zh-CN"/>
        </w:rPr>
        <w:t>审计委员会</w:t>
      </w:r>
      <w:r>
        <w:rPr>
          <w:rFonts w:hint="eastAsia" w:ascii="仿宋_GB2312" w:hAnsi="宋体" w:eastAsia="仿宋_GB2312"/>
          <w:color w:val="auto"/>
          <w:sz w:val="32"/>
          <w:szCs w:val="32"/>
          <w:highlight w:val="none"/>
          <w:lang w:eastAsia="zh-CN"/>
        </w:rPr>
        <w:t>依据职权进行的检查、督查活动，每年接受董事会</w:t>
      </w:r>
      <w:r>
        <w:rPr>
          <w:rFonts w:hint="eastAsia" w:ascii="仿宋_GB2312" w:hAnsi="宋体" w:eastAsia="仿宋_GB2312"/>
          <w:color w:val="auto"/>
          <w:sz w:val="32"/>
          <w:szCs w:val="32"/>
          <w:highlight w:val="none"/>
          <w:lang w:val="en-US" w:eastAsia="zh-CN"/>
        </w:rPr>
        <w:t>审计委员会</w:t>
      </w:r>
      <w:r>
        <w:rPr>
          <w:rFonts w:hint="eastAsia" w:ascii="仿宋_GB2312" w:hAnsi="宋体" w:eastAsia="仿宋_GB2312"/>
          <w:color w:val="auto"/>
          <w:sz w:val="32"/>
          <w:szCs w:val="32"/>
          <w:highlight w:val="none"/>
          <w:lang w:eastAsia="zh-CN"/>
        </w:rPr>
        <w:t>的审计，审计结果向股东会报告，向董事会通报。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（7）行长拟定有关职工工资、福利、安全经营以及劳动保护、劳动保险、解聘（或开除）本行职工等涉及职工切身利益的问题时，应当事先听取工会和职工代表大会的意见。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8）高级管理层负责制定全行各部门管理人员和业务人员的职业规范，明确具体的问责条款，建立相应的处理机制。高级管理层超出董事会授权范围或违反国家法律法规、行政规章和本章程规定，作出经营决策，致使本行遭受严重损失的，参与决策的行长、副行长应承担相应责任，并由董事会罢免。高级管理层依法在职权范围内的经营活动不受干预，对董事会违反规定干预经营管理活动的行为，有权请求董事会</w:t>
      </w:r>
      <w:r>
        <w:rPr>
          <w:rFonts w:hint="eastAsia" w:ascii="仿宋_GB2312" w:hAnsi="宋体" w:eastAsia="仿宋_GB2312"/>
          <w:color w:val="auto"/>
          <w:sz w:val="32"/>
          <w:szCs w:val="32"/>
          <w:highlight w:val="none"/>
          <w:lang w:val="en-US" w:eastAsia="zh-CN"/>
        </w:rPr>
        <w:t>审计委员会</w:t>
      </w:r>
      <w:r>
        <w:rPr>
          <w:rFonts w:hint="eastAsia" w:ascii="仿宋_GB2312" w:hAnsi="宋体" w:eastAsia="仿宋_GB2312"/>
          <w:color w:val="auto"/>
          <w:sz w:val="32"/>
          <w:szCs w:val="32"/>
          <w:highlight w:val="none"/>
          <w:lang w:eastAsia="zh-CN"/>
        </w:rPr>
        <w:t>提出异议，并向银行业监督管理机构报告。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olor w:val="auto"/>
          <w:sz w:val="32"/>
          <w:szCs w:val="32"/>
          <w:highlight w:val="none"/>
          <w:lang w:eastAsia="zh-CN"/>
        </w:rPr>
      </w:pPr>
      <w:r>
        <w:rPr>
          <w:rFonts w:hint="eastAsia" w:ascii="仿宋_GB2312" w:hAnsi="宋体" w:eastAsia="仿宋_GB2312"/>
          <w:color w:val="auto"/>
          <w:sz w:val="32"/>
          <w:szCs w:val="32"/>
          <w:highlight w:val="none"/>
          <w:lang w:eastAsia="zh-CN"/>
        </w:rPr>
        <w:t>（9）高级管理层可以在任期届满以前提出辞职。行长、副行长必须在完成离任审计后方可离任。</w:t>
      </w:r>
    </w:p>
    <w:p>
      <w:pPr>
        <w:pStyle w:val="14"/>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宋体" w:eastAsia="楷体_GB2312"/>
          <w:b/>
          <w:bCs/>
          <w:color w:val="auto"/>
          <w:sz w:val="32"/>
          <w:szCs w:val="32"/>
          <w:highlight w:val="yellow"/>
          <w:lang w:val="en-US" w:eastAsia="zh-CN"/>
        </w:rPr>
      </w:pPr>
      <w:r>
        <w:rPr>
          <w:rFonts w:hint="eastAsia" w:ascii="楷体_GB2312" w:hAnsi="宋体" w:eastAsia="楷体_GB2312"/>
          <w:b/>
          <w:bCs/>
          <w:color w:val="auto"/>
          <w:sz w:val="32"/>
          <w:szCs w:val="32"/>
          <w:highlight w:val="none"/>
          <w:lang w:val="en-US" w:eastAsia="zh-CN"/>
        </w:rPr>
        <w:t>（四）薪酬管理情况</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zh-CN" w:eastAsia="zh-CN" w:bidi="ar-SA"/>
        </w:rPr>
        <w:t>2026年上半年，全行员工薪酬总额（不含领导班子）约4161万元，人均达8.34万元；兑付本行领导班子成员薪酬总额290万元；兑现董事薪酬（不含执行董事）总额14万元。</w:t>
      </w:r>
    </w:p>
    <w:bookmarkEnd w:id="1"/>
    <w:bookmarkEnd w:id="2"/>
    <w:p>
      <w:pPr>
        <w:pStyle w:val="24"/>
        <w:rPr>
          <w:rFonts w:hint="eastAsia" w:ascii="仿宋_GB2312" w:hAnsi="仿宋_GB2312" w:eastAsia="仿宋_GB2312" w:cs="仿宋_GB2312"/>
          <w:color w:val="auto"/>
          <w:kern w:val="0"/>
          <w:highlight w:val="none"/>
        </w:rPr>
      </w:pPr>
      <w:bookmarkStart w:id="10" w:name="_Toc14257"/>
      <w:bookmarkStart w:id="11" w:name="_Toc408991758"/>
      <w:bookmarkStart w:id="12" w:name="_Toc408991555"/>
      <w:r>
        <w:rPr>
          <w:rFonts w:hint="eastAsia" w:ascii="仿宋_GB2312" w:hAnsi="仿宋_GB2312" w:eastAsia="仿宋_GB2312" w:cs="仿宋_GB2312"/>
          <w:color w:val="auto"/>
          <w:kern w:val="0"/>
          <w:highlight w:val="none"/>
        </w:rPr>
        <w:t>第五章　风险管理</w:t>
      </w:r>
    </w:p>
    <w:bookmarkEnd w:id="10"/>
    <w:p>
      <w:pPr>
        <w:keepNext w:val="0"/>
        <w:keepLines w:val="0"/>
        <w:pageBreakBefore w:val="0"/>
        <w:kinsoku/>
        <w:wordWrap/>
        <w:overflowPunct/>
        <w:topLinePunct w:val="0"/>
        <w:autoSpaceDE/>
        <w:autoSpaceDN/>
        <w:bidi w:val="0"/>
        <w:spacing w:line="560" w:lineRule="exact"/>
        <w:ind w:firstLine="800" w:firstLineChars="250"/>
        <w:textAlignment w:val="auto"/>
        <w:rPr>
          <w:rFonts w:hint="eastAsia" w:ascii="黑体" w:hAnsi="黑体" w:eastAsia="黑体" w:cs="Tahoma"/>
          <w:color w:val="auto"/>
          <w:kern w:val="0"/>
          <w:sz w:val="32"/>
          <w:szCs w:val="32"/>
          <w:highlight w:val="none"/>
          <w:lang w:eastAsia="zh-CN"/>
        </w:rPr>
      </w:pPr>
      <w:bookmarkStart w:id="13" w:name="_Toc27762"/>
      <w:r>
        <w:rPr>
          <w:rFonts w:hint="eastAsia" w:ascii="黑体" w:hAnsi="黑体" w:eastAsia="黑体" w:cs="Tahoma"/>
          <w:color w:val="auto"/>
          <w:kern w:val="0"/>
          <w:sz w:val="32"/>
          <w:szCs w:val="32"/>
          <w:highlight w:val="none"/>
        </w:rPr>
        <w:t>一、主要监管指标变动情况（单位：万元、人、％、百分点）</w:t>
      </w:r>
    </w:p>
    <w:tbl>
      <w:tblPr>
        <w:tblStyle w:val="27"/>
        <w:tblW w:w="7678" w:type="dxa"/>
        <w:jc w:val="center"/>
        <w:tblLayout w:type="fixed"/>
        <w:tblCellMar>
          <w:top w:w="15" w:type="dxa"/>
          <w:left w:w="15" w:type="dxa"/>
          <w:bottom w:w="15" w:type="dxa"/>
          <w:right w:w="15" w:type="dxa"/>
        </w:tblCellMar>
      </w:tblPr>
      <w:tblGrid>
        <w:gridCol w:w="2685"/>
        <w:gridCol w:w="1950"/>
        <w:gridCol w:w="3043"/>
      </w:tblGrid>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项    目</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default" w:ascii="仿宋_GB2312" w:hAnsi="宋体" w:eastAsia="仿宋_GB2312" w:cs="仿宋_GB2312"/>
                <w:color w:val="auto"/>
                <w:szCs w:val="21"/>
                <w:highlight w:val="none"/>
                <w:lang w:val="en-US" w:eastAsia="zh-CN"/>
              </w:rPr>
            </w:pPr>
            <w:r>
              <w:rPr>
                <w:rFonts w:hint="eastAsia" w:ascii="仿宋_GB2312" w:hAnsi="宋体" w:eastAsia="仿宋_GB2312" w:cs="仿宋_GB2312"/>
                <w:color w:val="auto"/>
                <w:kern w:val="0"/>
                <w:szCs w:val="21"/>
                <w:highlight w:val="none"/>
                <w:lang w:eastAsia="zh-CN" w:bidi="ar"/>
              </w:rPr>
              <w:t>上年</w:t>
            </w:r>
            <w:r>
              <w:rPr>
                <w:rFonts w:hint="eastAsia" w:ascii="仿宋_GB2312" w:hAnsi="宋体" w:eastAsia="仿宋_GB2312" w:cs="仿宋_GB2312"/>
                <w:color w:val="auto"/>
                <w:kern w:val="0"/>
                <w:szCs w:val="21"/>
                <w:highlight w:val="none"/>
                <w:lang w:val="en-US" w:eastAsia="zh-CN" w:bidi="ar"/>
              </w:rPr>
              <w:t>同期</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textAlignment w:val="center"/>
              <w:rPr>
                <w:rFonts w:hint="eastAsia" w:ascii="仿宋_GB2312" w:hAnsi="宋体" w:eastAsia="仿宋_GB2312" w:cs="仿宋_GB2312"/>
                <w:color w:val="auto"/>
                <w:szCs w:val="21"/>
                <w:highlight w:val="none"/>
                <w:lang w:eastAsia="zh-CN"/>
              </w:rPr>
            </w:pPr>
            <w:r>
              <w:rPr>
                <w:rFonts w:hint="eastAsia" w:ascii="仿宋_GB2312" w:hAnsi="宋体" w:eastAsia="仿宋_GB2312" w:cs="仿宋_GB2312"/>
                <w:color w:val="auto"/>
                <w:kern w:val="0"/>
                <w:szCs w:val="21"/>
                <w:highlight w:val="none"/>
                <w:lang w:val="en-US" w:eastAsia="zh-CN" w:bidi="ar"/>
              </w:rPr>
              <w:t>上半年</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 xml:space="preserve"> 营业收入</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color w:val="auto"/>
                <w:szCs w:val="21"/>
                <w:highlight w:val="none"/>
                <w:lang w:val="en-US"/>
              </w:rPr>
            </w:pPr>
            <w:r>
              <w:rPr>
                <w:rFonts w:hint="eastAsia" w:ascii="宋体" w:hAnsi="宋体" w:cs="宋体"/>
                <w:i w:val="0"/>
                <w:iCs w:val="0"/>
                <w:color w:val="auto"/>
                <w:kern w:val="0"/>
                <w:sz w:val="20"/>
                <w:szCs w:val="20"/>
                <w:highlight w:val="none"/>
                <w:u w:val="none"/>
                <w:lang w:val="en-US" w:eastAsia="zh-CN" w:bidi="ar"/>
              </w:rPr>
              <w:t>58890.74</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58277.01 </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 xml:space="preserve"> 其中：利息净收入 　</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color w:val="auto"/>
                <w:szCs w:val="21"/>
                <w:highlight w:val="none"/>
                <w:lang w:val="en-US"/>
              </w:rPr>
            </w:pPr>
            <w:r>
              <w:rPr>
                <w:rFonts w:hint="eastAsia" w:ascii="宋体" w:hAnsi="宋体" w:cs="宋体"/>
                <w:i w:val="0"/>
                <w:iCs w:val="0"/>
                <w:color w:val="auto"/>
                <w:kern w:val="0"/>
                <w:sz w:val="20"/>
                <w:szCs w:val="20"/>
                <w:highlight w:val="none"/>
                <w:u w:val="none"/>
                <w:lang w:val="en-US" w:eastAsia="zh-CN" w:bidi="ar"/>
              </w:rPr>
              <w:t>33941.03</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34787.74</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 xml:space="preserve"> 营业支出　</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color w:val="auto"/>
                <w:szCs w:val="21"/>
                <w:highlight w:val="none"/>
                <w:lang w:val="en-US"/>
              </w:rPr>
            </w:pPr>
            <w:r>
              <w:rPr>
                <w:rFonts w:hint="eastAsia" w:ascii="宋体" w:hAnsi="宋体" w:cs="宋体"/>
                <w:i w:val="0"/>
                <w:iCs w:val="0"/>
                <w:color w:val="auto"/>
                <w:kern w:val="0"/>
                <w:sz w:val="20"/>
                <w:szCs w:val="20"/>
                <w:highlight w:val="none"/>
                <w:u w:val="none"/>
                <w:lang w:val="en-US" w:eastAsia="zh-CN" w:bidi="ar"/>
              </w:rPr>
              <w:t>35123.71</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37606.40</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 xml:space="preserve"> 本年利润 　</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color w:val="auto"/>
                <w:szCs w:val="21"/>
                <w:highlight w:val="none"/>
                <w:lang w:val="en-US"/>
              </w:rPr>
            </w:pPr>
            <w:r>
              <w:rPr>
                <w:rFonts w:hint="eastAsia" w:ascii="宋体" w:hAnsi="宋体" w:cs="宋体"/>
                <w:i w:val="0"/>
                <w:iCs w:val="0"/>
                <w:color w:val="auto"/>
                <w:kern w:val="0"/>
                <w:sz w:val="20"/>
                <w:szCs w:val="20"/>
                <w:highlight w:val="none"/>
                <w:u w:val="none"/>
                <w:lang w:val="en-US" w:eastAsia="zh-CN" w:bidi="ar"/>
              </w:rPr>
              <w:t>23724.80</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20618.73 </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 xml:space="preserve"> 净利润 　</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color w:val="auto"/>
                <w:szCs w:val="21"/>
                <w:highlight w:val="none"/>
                <w:lang w:val="en-US"/>
              </w:rPr>
            </w:pPr>
            <w:r>
              <w:rPr>
                <w:rFonts w:hint="eastAsia" w:ascii="宋体" w:hAnsi="宋体" w:cs="宋体"/>
                <w:i w:val="0"/>
                <w:iCs w:val="0"/>
                <w:color w:val="auto"/>
                <w:kern w:val="0"/>
                <w:sz w:val="20"/>
                <w:szCs w:val="20"/>
                <w:highlight w:val="none"/>
                <w:u w:val="none"/>
                <w:lang w:val="en-US" w:eastAsia="zh-CN" w:bidi="ar"/>
              </w:rPr>
              <w:t>17846.00</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 xml:space="preserve">17985.24 </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 xml:space="preserve"> 职工人数</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color w:val="auto"/>
                <w:szCs w:val="21"/>
                <w:highlight w:val="none"/>
                <w:lang w:val="en-US"/>
              </w:rPr>
            </w:pPr>
            <w:r>
              <w:rPr>
                <w:rFonts w:hint="eastAsia" w:ascii="宋体" w:hAnsi="宋体" w:cs="宋体"/>
                <w:i w:val="0"/>
                <w:iCs w:val="0"/>
                <w:color w:val="auto"/>
                <w:kern w:val="0"/>
                <w:sz w:val="20"/>
                <w:szCs w:val="20"/>
                <w:highlight w:val="none"/>
                <w:u w:val="none"/>
                <w:lang w:val="en-US" w:eastAsia="zh-CN" w:bidi="ar"/>
              </w:rPr>
              <w:t>504</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510</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kern w:val="0"/>
                <w:szCs w:val="21"/>
                <w:highlight w:val="none"/>
                <w:lang w:bidi="ar"/>
              </w:rPr>
            </w:pPr>
            <w:r>
              <w:rPr>
                <w:rFonts w:hint="eastAsia" w:ascii="仿宋_GB2312" w:hAnsi="宋体" w:eastAsia="仿宋_GB2312" w:cs="仿宋_GB2312"/>
                <w:color w:val="auto"/>
                <w:kern w:val="0"/>
                <w:szCs w:val="21"/>
                <w:highlight w:val="none"/>
                <w:lang w:bidi="ar"/>
              </w:rPr>
              <w:t xml:space="preserve"> 入股人数 　</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color w:val="auto"/>
                <w:kern w:val="0"/>
                <w:szCs w:val="21"/>
                <w:highlight w:val="none"/>
                <w:lang w:val="en-US" w:bidi="ar"/>
              </w:rPr>
            </w:pPr>
            <w:r>
              <w:rPr>
                <w:rFonts w:hint="eastAsia" w:ascii="宋体" w:hAnsi="宋体" w:cs="宋体"/>
                <w:i w:val="0"/>
                <w:iCs w:val="0"/>
                <w:color w:val="auto"/>
                <w:kern w:val="0"/>
                <w:sz w:val="20"/>
                <w:szCs w:val="20"/>
                <w:highlight w:val="none"/>
                <w:u w:val="none"/>
                <w:lang w:val="en-US" w:eastAsia="zh-CN" w:bidi="ar"/>
              </w:rPr>
              <w:t>752</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745</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kern w:val="0"/>
                <w:szCs w:val="21"/>
                <w:highlight w:val="none"/>
                <w:lang w:bidi="ar"/>
              </w:rPr>
            </w:pPr>
            <w:r>
              <w:rPr>
                <w:rFonts w:hint="eastAsia" w:ascii="仿宋_GB2312" w:hAnsi="宋体" w:eastAsia="仿宋_GB2312" w:cs="仿宋_GB2312"/>
                <w:color w:val="auto"/>
                <w:kern w:val="0"/>
                <w:szCs w:val="21"/>
                <w:highlight w:val="none"/>
                <w:lang w:bidi="ar"/>
              </w:rPr>
              <w:t xml:space="preserve"> 股本金总额</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color w:val="auto"/>
                <w:szCs w:val="21"/>
                <w:highlight w:val="none"/>
                <w:lang w:val="en-US"/>
              </w:rPr>
            </w:pPr>
            <w:r>
              <w:rPr>
                <w:rFonts w:hint="eastAsia" w:ascii="宋体" w:hAnsi="宋体" w:cs="宋体"/>
                <w:i w:val="0"/>
                <w:iCs w:val="0"/>
                <w:color w:val="auto"/>
                <w:kern w:val="0"/>
                <w:sz w:val="20"/>
                <w:szCs w:val="20"/>
                <w:highlight w:val="none"/>
                <w:u w:val="none"/>
                <w:lang w:val="en-US" w:eastAsia="zh-CN" w:bidi="ar"/>
              </w:rPr>
              <w:t>43828.3912</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44704.959</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 xml:space="preserve"> 资本充足率</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default" w:ascii="仿宋_GB2312" w:hAnsi="宋体" w:eastAsia="仿宋_GB2312" w:cs="仿宋_GB2312"/>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18.05</w:t>
            </w:r>
            <w:r>
              <w:rPr>
                <w:rFonts w:hint="eastAsia" w:ascii="宋体" w:hAnsi="宋体" w:eastAsia="宋体" w:cs="宋体"/>
                <w:i w:val="0"/>
                <w:iCs w:val="0"/>
                <w:color w:val="auto"/>
                <w:kern w:val="0"/>
                <w:sz w:val="20"/>
                <w:szCs w:val="20"/>
                <w:highlight w:val="none"/>
                <w:u w:val="none"/>
                <w:lang w:val="en-US" w:eastAsia="zh-CN" w:bidi="ar"/>
              </w:rPr>
              <w:t>%</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17.07%</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 xml:space="preserve"> 核心资本充足率</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16.92</w:t>
            </w:r>
            <w:r>
              <w:rPr>
                <w:rFonts w:hint="eastAsia" w:ascii="宋体" w:hAnsi="宋体" w:eastAsia="宋体" w:cs="宋体"/>
                <w:i w:val="0"/>
                <w:iCs w:val="0"/>
                <w:color w:val="auto"/>
                <w:kern w:val="0"/>
                <w:sz w:val="20"/>
                <w:szCs w:val="20"/>
                <w:highlight w:val="none"/>
                <w:u w:val="none"/>
                <w:lang w:val="en-US" w:eastAsia="zh-CN" w:bidi="ar"/>
              </w:rPr>
              <w:t>%</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15.93%</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 xml:space="preserve"> 不良贷款比例</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eastAsia" w:ascii="仿宋_GB2312" w:hAnsi="宋体" w:eastAsia="仿宋_GB2312" w:cs="仿宋_GB2312"/>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1.17</w:t>
            </w:r>
            <w:r>
              <w:rPr>
                <w:rFonts w:hint="eastAsia" w:ascii="宋体" w:hAnsi="宋体" w:eastAsia="宋体" w:cs="宋体"/>
                <w:i w:val="0"/>
                <w:iCs w:val="0"/>
                <w:color w:val="auto"/>
                <w:kern w:val="0"/>
                <w:sz w:val="20"/>
                <w:szCs w:val="20"/>
                <w:highlight w:val="none"/>
                <w:u w:val="none"/>
                <w:lang w:val="en-US" w:eastAsia="zh-CN" w:bidi="ar"/>
              </w:rPr>
              <w:t>%</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1.13%</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 xml:space="preserve"> 存贷款比例</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eastAsia" w:ascii="仿宋_GB2312" w:hAnsi="宋体" w:eastAsia="仿宋_GB2312" w:cs="仿宋_GB2312"/>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63.80</w:t>
            </w:r>
            <w:r>
              <w:rPr>
                <w:rFonts w:hint="eastAsia" w:ascii="宋体" w:hAnsi="宋体" w:eastAsia="宋体" w:cs="宋体"/>
                <w:i w:val="0"/>
                <w:iCs w:val="0"/>
                <w:color w:val="auto"/>
                <w:kern w:val="0"/>
                <w:sz w:val="20"/>
                <w:szCs w:val="20"/>
                <w:highlight w:val="none"/>
                <w:u w:val="none"/>
                <w:lang w:val="en-US" w:eastAsia="zh-CN" w:bidi="ar"/>
              </w:rPr>
              <w:t>%</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61.49%</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 xml:space="preserve"> 流动性比例</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eastAsia" w:ascii="仿宋_GB2312" w:hAnsi="宋体" w:eastAsia="仿宋_GB2312" w:cs="仿宋_GB2312"/>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115.50</w:t>
            </w:r>
            <w:r>
              <w:rPr>
                <w:rFonts w:hint="eastAsia" w:ascii="宋体" w:hAnsi="宋体" w:eastAsia="宋体" w:cs="宋体"/>
                <w:i w:val="0"/>
                <w:iCs w:val="0"/>
                <w:color w:val="auto"/>
                <w:kern w:val="0"/>
                <w:sz w:val="20"/>
                <w:szCs w:val="20"/>
                <w:highlight w:val="none"/>
                <w:u w:val="none"/>
                <w:lang w:val="en-US" w:eastAsia="zh-CN" w:bidi="ar"/>
              </w:rPr>
              <w:t>%</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101.46%</w:t>
            </w:r>
          </w:p>
        </w:tc>
      </w:tr>
      <w:tr>
        <w:tblPrEx>
          <w:tblCellMar>
            <w:top w:w="15" w:type="dxa"/>
            <w:left w:w="15" w:type="dxa"/>
            <w:bottom w:w="15" w:type="dxa"/>
            <w:right w:w="15" w:type="dxa"/>
          </w:tblCellMar>
        </w:tblPrEx>
        <w:trPr>
          <w:trHeight w:val="285" w:hRule="atLeast"/>
          <w:jc w:val="center"/>
        </w:trPr>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ind w:firstLine="420" w:firstLineChars="200"/>
              <w:jc w:val="left"/>
              <w:textAlignment w:val="center"/>
              <w:rPr>
                <w:rFonts w:ascii="仿宋_GB2312" w:hAnsi="宋体" w:eastAsia="仿宋_GB2312" w:cs="仿宋_GB2312"/>
                <w:color w:val="auto"/>
                <w:szCs w:val="21"/>
                <w:highlight w:val="none"/>
              </w:rPr>
            </w:pPr>
            <w:r>
              <w:rPr>
                <w:rFonts w:hint="eastAsia" w:ascii="仿宋_GB2312" w:hAnsi="宋体" w:eastAsia="仿宋_GB2312" w:cs="仿宋_GB2312"/>
                <w:color w:val="auto"/>
                <w:kern w:val="0"/>
                <w:szCs w:val="21"/>
                <w:highlight w:val="none"/>
                <w:lang w:bidi="ar"/>
              </w:rPr>
              <w:t xml:space="preserve"> 核心负债依存度</w:t>
            </w:r>
            <w:r>
              <w:rPr>
                <w:rStyle w:val="101"/>
                <w:color w:val="auto"/>
                <w:highlight w:val="none"/>
                <w:lang w:bidi="ar"/>
              </w:rPr>
              <w:t xml:space="preserve"> </w:t>
            </w:r>
          </w:p>
        </w:tc>
        <w:tc>
          <w:tcPr>
            <w:tcW w:w="1950"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eastAsia" w:ascii="仿宋_GB2312" w:hAnsi="宋体" w:eastAsia="仿宋_GB2312" w:cs="仿宋_GB2312"/>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82.54</w:t>
            </w:r>
            <w:r>
              <w:rPr>
                <w:rFonts w:hint="eastAsia" w:ascii="宋体" w:hAnsi="宋体" w:eastAsia="宋体" w:cs="宋体"/>
                <w:i w:val="0"/>
                <w:iCs w:val="0"/>
                <w:color w:val="auto"/>
                <w:kern w:val="0"/>
                <w:sz w:val="20"/>
                <w:szCs w:val="20"/>
                <w:highlight w:val="none"/>
                <w:u w:val="none"/>
                <w:lang w:val="en-US" w:eastAsia="zh-CN" w:bidi="ar"/>
              </w:rPr>
              <w:t>%</w:t>
            </w:r>
          </w:p>
        </w:tc>
        <w:tc>
          <w:tcPr>
            <w:tcW w:w="3043" w:type="dxa"/>
            <w:tcBorders>
              <w:top w:val="single" w:color="auto" w:sz="4" w:space="0"/>
              <w:left w:val="single" w:color="auto" w:sz="4" w:space="0"/>
              <w:bottom w:val="single" w:color="auto" w:sz="4" w:space="0"/>
              <w:right w:val="single" w:color="auto"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82.14%</w:t>
            </w:r>
          </w:p>
        </w:tc>
      </w:tr>
    </w:tbl>
    <w:p>
      <w:pPr>
        <w:pStyle w:val="14"/>
        <w:keepNext w:val="0"/>
        <w:keepLines w:val="0"/>
        <w:pageBreakBefore w:val="0"/>
        <w:widowControl w:val="0"/>
        <w:kinsoku/>
        <w:wordWrap/>
        <w:autoSpaceDE/>
        <w:autoSpaceDN/>
        <w:bidi w:val="0"/>
        <w:adjustRightInd/>
        <w:snapToGrid/>
        <w:spacing w:line="560" w:lineRule="exact"/>
        <w:ind w:firstLine="640" w:firstLineChars="200"/>
        <w:textAlignment w:val="auto"/>
        <w:rPr>
          <w:rFonts w:ascii="黑体" w:hAnsi="黑体" w:eastAsia="黑体"/>
          <w:color w:val="auto"/>
          <w:kern w:val="0"/>
          <w:sz w:val="32"/>
          <w:szCs w:val="32"/>
          <w:highlight w:val="none"/>
        </w:rPr>
      </w:pPr>
      <w:r>
        <w:rPr>
          <w:rFonts w:hint="eastAsia" w:ascii="黑体" w:hAnsi="黑体" w:eastAsia="黑体"/>
          <w:color w:val="auto"/>
          <w:kern w:val="0"/>
          <w:sz w:val="32"/>
          <w:szCs w:val="32"/>
          <w:highlight w:val="none"/>
        </w:rPr>
        <w:t>二、</w:t>
      </w:r>
      <w:r>
        <w:rPr>
          <w:rFonts w:hint="eastAsia" w:ascii="黑体" w:hAnsi="黑体" w:eastAsia="黑体"/>
          <w:color w:val="auto"/>
          <w:kern w:val="0"/>
          <w:sz w:val="32"/>
          <w:szCs w:val="32"/>
          <w:highlight w:val="none"/>
          <w:lang w:val="en-US" w:eastAsia="zh-CN"/>
        </w:rPr>
        <w:t>2026</w:t>
      </w:r>
      <w:r>
        <w:rPr>
          <w:rFonts w:hint="eastAsia" w:ascii="黑体" w:hAnsi="黑体" w:eastAsia="黑体"/>
          <w:color w:val="auto"/>
          <w:kern w:val="0"/>
          <w:sz w:val="32"/>
          <w:szCs w:val="32"/>
          <w:highlight w:val="none"/>
        </w:rPr>
        <w:t>年</w:t>
      </w:r>
      <w:r>
        <w:rPr>
          <w:rFonts w:hint="eastAsia" w:ascii="黑体" w:hAnsi="黑体" w:eastAsia="黑体"/>
          <w:color w:val="auto"/>
          <w:kern w:val="0"/>
          <w:sz w:val="32"/>
          <w:szCs w:val="32"/>
          <w:highlight w:val="none"/>
          <w:lang w:val="en-US" w:eastAsia="zh-CN"/>
        </w:rPr>
        <w:t>上半年</w:t>
      </w:r>
      <w:r>
        <w:rPr>
          <w:rFonts w:hint="eastAsia" w:ascii="黑体" w:hAnsi="黑体" w:eastAsia="黑体"/>
          <w:color w:val="auto"/>
          <w:kern w:val="0"/>
          <w:sz w:val="32"/>
          <w:szCs w:val="32"/>
          <w:highlight w:val="none"/>
        </w:rPr>
        <w:t>整体风险的控制和防范措施</w:t>
      </w:r>
    </w:p>
    <w:p>
      <w:pPr>
        <w:pStyle w:val="14"/>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ascii="仿宋_GB2312" w:hAnsi="仿宋_GB2312" w:eastAsia="仿宋_GB2312"/>
          <w:color w:val="auto"/>
          <w:kern w:val="0"/>
          <w:sz w:val="32"/>
          <w:szCs w:val="32"/>
          <w:highlight w:val="none"/>
        </w:rPr>
      </w:pPr>
      <w:r>
        <w:rPr>
          <w:rFonts w:hint="eastAsia" w:ascii="仿宋_GB2312" w:hAnsi="仿宋_GB2312" w:eastAsia="仿宋_GB2312"/>
          <w:color w:val="auto"/>
          <w:kern w:val="0"/>
          <w:sz w:val="32"/>
          <w:szCs w:val="32"/>
          <w:highlight w:val="none"/>
        </w:rPr>
        <w:t>本行面临的主要风险类别包括</w:t>
      </w:r>
      <w:r>
        <w:rPr>
          <w:rFonts w:hint="eastAsia" w:ascii="仿宋_GB2312" w:hAnsi="仿宋_GB2312" w:eastAsia="仿宋_GB2312"/>
          <w:color w:val="auto"/>
          <w:kern w:val="0"/>
          <w:sz w:val="32"/>
          <w:szCs w:val="32"/>
          <w:highlight w:val="none"/>
          <w:lang w:eastAsia="zh-CN"/>
        </w:rPr>
        <w:t>：</w:t>
      </w:r>
      <w:r>
        <w:rPr>
          <w:rFonts w:hint="eastAsia" w:ascii="仿宋_GB2312" w:hAnsi="仿宋_GB2312" w:eastAsia="仿宋_GB2312"/>
          <w:color w:val="auto"/>
          <w:kern w:val="0"/>
          <w:sz w:val="32"/>
          <w:szCs w:val="32"/>
          <w:highlight w:val="none"/>
        </w:rPr>
        <w:t>信用风险、市场风险、操作风险、流动性风险、声誉风险等。</w:t>
      </w:r>
      <w:r>
        <w:rPr>
          <w:rFonts w:hint="eastAsia" w:ascii="Times New Roman" w:hAnsi="Times New Roman" w:eastAsia="仿宋_GB2312" w:cs="Times New Roman"/>
          <w:color w:val="auto"/>
          <w:kern w:val="2"/>
          <w:sz w:val="32"/>
          <w:szCs w:val="32"/>
          <w:highlight w:val="none"/>
          <w:lang w:val="en-US" w:eastAsia="zh-CN" w:bidi="ar-SA"/>
        </w:rPr>
        <w:t>2026</w:t>
      </w:r>
      <w:r>
        <w:rPr>
          <w:rFonts w:hint="eastAsia" w:ascii="Times New Roman" w:hAnsi="Times New Roman" w:eastAsia="仿宋_GB2312" w:cs="Times New Roman"/>
          <w:color w:val="auto"/>
          <w:kern w:val="2"/>
          <w:sz w:val="32"/>
          <w:szCs w:val="32"/>
          <w:highlight w:val="none"/>
          <w:lang w:val="zh-CN" w:eastAsia="zh-CN" w:bidi="ar-SA"/>
        </w:rPr>
        <w:t>年上半年，</w:t>
      </w:r>
      <w:r>
        <w:rPr>
          <w:rFonts w:hint="eastAsia" w:ascii="仿宋_GB2312" w:hAnsi="仿宋_GB2312" w:eastAsia="仿宋_GB2312"/>
          <w:color w:val="auto"/>
          <w:kern w:val="0"/>
          <w:sz w:val="32"/>
          <w:szCs w:val="32"/>
          <w:highlight w:val="none"/>
        </w:rPr>
        <w:t>面对上述各种风险，本行及时采取相应措施，坚持稳中求进的工作基调，进一步提升风险管理精细化、专业化、科技化水平，前移风险防控关口，积极推进全面风险管理，风险管理能力显著提升。</w:t>
      </w:r>
    </w:p>
    <w:p>
      <w:pPr>
        <w:pStyle w:val="14"/>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楷体_GB2312" w:hAnsi="宋体" w:eastAsia="楷体_GB2312"/>
          <w:color w:val="auto"/>
          <w:sz w:val="32"/>
          <w:szCs w:val="32"/>
          <w:highlight w:val="none"/>
          <w:lang w:eastAsia="zh-CN"/>
        </w:rPr>
      </w:pPr>
      <w:r>
        <w:rPr>
          <w:rFonts w:hint="eastAsia" w:ascii="楷体_GB2312" w:hAnsi="宋体" w:eastAsia="楷体_GB2312"/>
          <w:color w:val="auto"/>
          <w:sz w:val="32"/>
          <w:szCs w:val="32"/>
          <w:highlight w:val="none"/>
        </w:rPr>
        <w:t>(一)信用风险管理</w:t>
      </w:r>
    </w:p>
    <w:p>
      <w:pPr>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ascii="仿宋_GB2312" w:hAnsi="仿宋_GB2312" w:eastAsia="仿宋_GB2312"/>
          <w:color w:val="auto"/>
          <w:kern w:val="0"/>
          <w:sz w:val="32"/>
          <w:szCs w:val="32"/>
          <w:highlight w:val="none"/>
        </w:rPr>
      </w:pPr>
      <w:r>
        <w:rPr>
          <w:rFonts w:hint="eastAsia" w:ascii="仿宋_GB2312" w:hAnsi="仿宋_GB2312" w:eastAsia="仿宋_GB2312"/>
          <w:color w:val="auto"/>
          <w:kern w:val="0"/>
          <w:sz w:val="32"/>
          <w:szCs w:val="32"/>
          <w:highlight w:val="none"/>
        </w:rPr>
        <w:t>信用风险是指债务人或交易对手没有履行合同约定的对本行的义务或责任，使本行可能遭受损失的风险。</w:t>
      </w:r>
    </w:p>
    <w:p>
      <w:pPr>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ascii="仿宋_GB2312" w:hAnsi="仿宋_GB2312" w:eastAsia="仿宋_GB2312"/>
          <w:color w:val="auto"/>
          <w:kern w:val="0"/>
          <w:sz w:val="32"/>
          <w:szCs w:val="32"/>
          <w:highlight w:val="none"/>
        </w:rPr>
      </w:pPr>
      <w:r>
        <w:rPr>
          <w:rFonts w:hint="eastAsia" w:ascii="Times New Roman" w:hAnsi="Times New Roman" w:eastAsia="仿宋_GB2312" w:cs="Times New Roman"/>
          <w:color w:val="auto"/>
          <w:kern w:val="2"/>
          <w:sz w:val="32"/>
          <w:szCs w:val="32"/>
          <w:highlight w:val="none"/>
          <w:lang w:val="zh-CN" w:eastAsia="zh-CN" w:bidi="ar-SA"/>
        </w:rPr>
        <w:t>202</w:t>
      </w:r>
      <w:r>
        <w:rPr>
          <w:rFonts w:hint="eastAsia" w:eastAsia="仿宋_GB2312" w:cs="Times New Roman"/>
          <w:color w:val="auto"/>
          <w:kern w:val="2"/>
          <w:sz w:val="32"/>
          <w:szCs w:val="32"/>
          <w:highlight w:val="none"/>
          <w:lang w:val="en-US" w:eastAsia="zh-CN" w:bidi="ar-SA"/>
        </w:rPr>
        <w:t>6</w:t>
      </w:r>
      <w:r>
        <w:rPr>
          <w:rFonts w:hint="eastAsia" w:ascii="Times New Roman" w:hAnsi="Times New Roman" w:eastAsia="仿宋_GB2312" w:cs="Times New Roman"/>
          <w:color w:val="auto"/>
          <w:kern w:val="2"/>
          <w:sz w:val="32"/>
          <w:szCs w:val="32"/>
          <w:highlight w:val="none"/>
          <w:lang w:val="zh-CN" w:eastAsia="zh-CN" w:bidi="ar-SA"/>
        </w:rPr>
        <w:t>年上半年</w:t>
      </w:r>
      <w:r>
        <w:rPr>
          <w:rFonts w:hint="eastAsia" w:ascii="仿宋_GB2312" w:hAnsi="仿宋_GB2312" w:eastAsia="仿宋_GB2312"/>
          <w:color w:val="auto"/>
          <w:kern w:val="0"/>
          <w:sz w:val="32"/>
          <w:szCs w:val="32"/>
          <w:highlight w:val="none"/>
        </w:rPr>
        <w:t>，本行信用风险管理以防范和化解重点区域、重点领域、重点客户潜在风险，保持资产质量持续稳定为核心，强化日常监测与事前预警提示，加强对重点行业、重点领域的风险排查，及时有效处置化解信用风险，资产质量持续保持稳定。围绕国家产业政策、监管要求、全行发展战略和风险偏好，明确信贷经营导向，防范系统性风险，实现风险、收益和效率的平衡。</w:t>
      </w:r>
    </w:p>
    <w:p>
      <w:pPr>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ascii="仿宋_GB2312" w:hAnsi="仿宋_GB2312" w:eastAsia="仿宋_GB2312"/>
          <w:color w:val="auto"/>
          <w:kern w:val="0"/>
          <w:sz w:val="32"/>
          <w:szCs w:val="32"/>
          <w:highlight w:val="none"/>
        </w:rPr>
      </w:pPr>
      <w:r>
        <w:rPr>
          <w:rFonts w:hint="eastAsia" w:ascii="仿宋_GB2312" w:hAnsi="仿宋_GB2312" w:eastAsia="仿宋_GB2312"/>
          <w:color w:val="auto"/>
          <w:kern w:val="0"/>
          <w:sz w:val="32"/>
          <w:szCs w:val="32"/>
          <w:highlight w:val="none"/>
        </w:rPr>
        <w:t>报告期内，本行多策并举，加强信用风险管控。</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ascii="仿宋_GB2312" w:eastAsia="仿宋_GB2312"/>
          <w:color w:val="auto"/>
          <w:sz w:val="32"/>
          <w:szCs w:val="32"/>
          <w:highlight w:val="none"/>
        </w:rPr>
      </w:pPr>
      <w:bookmarkStart w:id="14" w:name="_Toc22674"/>
      <w:r>
        <w:rPr>
          <w:rFonts w:hint="eastAsia" w:ascii="仿宋_GB2312" w:hAnsi="仿宋_GB2312" w:eastAsia="仿宋_GB2312"/>
          <w:color w:val="auto"/>
          <w:kern w:val="0"/>
          <w:sz w:val="32"/>
          <w:szCs w:val="32"/>
          <w:highlight w:val="none"/>
        </w:rPr>
        <w:t>1.</w:t>
      </w:r>
      <w:bookmarkEnd w:id="14"/>
      <w:bookmarkStart w:id="15" w:name="_Toc4615"/>
      <w:r>
        <w:rPr>
          <w:rFonts w:hint="eastAsia" w:ascii="仿宋_GB2312" w:hAnsi="仿宋_GB2312" w:eastAsia="仿宋_GB2312"/>
          <w:color w:val="auto"/>
          <w:kern w:val="0"/>
          <w:sz w:val="32"/>
          <w:szCs w:val="32"/>
          <w:highlight w:val="none"/>
        </w:rPr>
        <w:t>加强统一授信管理。将贷款（含贷记卡及分期业务）、票据承兑和贴现、债券投资以及其他实质上由银行承担信用风险的业务全部纳入统一授信管理，全面覆盖各类授信业务。充分借助统一授信管理平台等系统工具，严格落实限额管控要求，从严授信审批管理，强化系统管控。针对不同客户审慎、差异化设置授信限额，严控授信集中度，确保各项集中度指标符合监管要求。坚持底线思维，提高风险意识，规范大额授信业务准入标准，审慎、稳健发展大额信贷业务。强化风险监测，密切关注他行授用信政策变化，定期查询征信，做到风险隐患早发现早处置。</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olor w:val="auto"/>
          <w:kern w:val="0"/>
          <w:sz w:val="32"/>
          <w:szCs w:val="32"/>
          <w:highlight w:val="none"/>
        </w:rPr>
      </w:pPr>
      <w:r>
        <w:rPr>
          <w:rFonts w:hint="eastAsia" w:ascii="仿宋_GB2312" w:hAnsi="仿宋_GB2312" w:eastAsia="仿宋_GB2312"/>
          <w:color w:val="auto"/>
          <w:kern w:val="0"/>
          <w:sz w:val="32"/>
          <w:szCs w:val="32"/>
          <w:highlight w:val="none"/>
        </w:rPr>
        <w:t>2.加强不良及瑕疵贷款控制</w:t>
      </w:r>
      <w:bookmarkEnd w:id="15"/>
      <w:r>
        <w:rPr>
          <w:rFonts w:hint="eastAsia" w:ascii="仿宋_GB2312" w:hAnsi="仿宋_GB2312" w:eastAsia="仿宋_GB2312"/>
          <w:color w:val="auto"/>
          <w:kern w:val="0"/>
          <w:sz w:val="32"/>
          <w:szCs w:val="32"/>
          <w:highlight w:val="none"/>
        </w:rPr>
        <w:t>。细化考核措施，提高信贷人员清收不良贷款的积极性。本行实施全员清收，完善不良贷款考核办法，继续考核支行的当年到期贷款回收率和不良贷款控制，将不良贷款清收任务分配至各支行和客户经理，加大清收奖惩力度，</w:t>
      </w:r>
      <w:r>
        <w:rPr>
          <w:rFonts w:hint="eastAsia" w:ascii="仿宋_GB2312" w:hAnsi="仿宋_GB2312" w:eastAsia="仿宋_GB2312"/>
          <w:color w:val="auto"/>
          <w:kern w:val="0"/>
          <w:sz w:val="32"/>
          <w:szCs w:val="32"/>
          <w:highlight w:val="none"/>
          <w:lang w:eastAsia="zh-CN"/>
        </w:rPr>
        <w:t>提升</w:t>
      </w:r>
      <w:r>
        <w:rPr>
          <w:rFonts w:hint="eastAsia" w:ascii="仿宋_GB2312" w:hAnsi="仿宋_GB2312" w:eastAsia="仿宋_GB2312"/>
          <w:color w:val="auto"/>
          <w:kern w:val="0"/>
          <w:sz w:val="32"/>
          <w:szCs w:val="32"/>
          <w:highlight w:val="none"/>
        </w:rPr>
        <w:t>不良贷款清收的积极性和主动性。</w:t>
      </w:r>
    </w:p>
    <w:p>
      <w:pPr>
        <w:keepNext w:val="0"/>
        <w:keepLines w:val="0"/>
        <w:pageBreakBefore w:val="0"/>
        <w:widowControl w:val="0"/>
        <w:kinsoku/>
        <w:wordWrap/>
        <w:autoSpaceDE/>
        <w:autoSpaceDN/>
        <w:bidi w:val="0"/>
        <w:spacing w:line="560" w:lineRule="exact"/>
        <w:ind w:firstLine="560"/>
        <w:textAlignment w:val="auto"/>
        <w:rPr>
          <w:rFonts w:hint="eastAsia" w:ascii="仿宋_GB2312" w:hAnsi="仿宋_GB2312" w:eastAsia="仿宋_GB2312"/>
          <w:color w:val="auto"/>
          <w:kern w:val="0"/>
          <w:sz w:val="32"/>
          <w:szCs w:val="32"/>
          <w:highlight w:val="none"/>
        </w:rPr>
      </w:pPr>
      <w:r>
        <w:rPr>
          <w:rFonts w:hint="eastAsia" w:ascii="仿宋_GB2312" w:hAnsi="仿宋_GB2312" w:eastAsia="仿宋_GB2312"/>
          <w:color w:val="auto"/>
          <w:kern w:val="0"/>
          <w:sz w:val="32"/>
          <w:szCs w:val="32"/>
          <w:highlight w:val="none"/>
          <w:lang w:val="en-US" w:eastAsia="zh-CN"/>
        </w:rPr>
        <w:t>3</w:t>
      </w:r>
      <w:r>
        <w:rPr>
          <w:rFonts w:hint="eastAsia" w:ascii="仿宋_GB2312" w:hAnsi="仿宋_GB2312" w:eastAsia="仿宋_GB2312"/>
          <w:color w:val="auto"/>
          <w:kern w:val="0"/>
          <w:sz w:val="32"/>
          <w:szCs w:val="32"/>
          <w:highlight w:val="none"/>
        </w:rPr>
        <w:t>.加强资产风险分类管理。严格落实《商业银行金融资产风险分类办法》有关要求，对新规施行后新发生的业务按新办法进行分类，对施行前发生的业务在过渡期内完成重新分类</w:t>
      </w:r>
      <w:r>
        <w:rPr>
          <w:rFonts w:hint="eastAsia" w:ascii="仿宋_GB2312" w:hAnsi="仿宋_GB2312" w:eastAsia="仿宋_GB2312"/>
          <w:color w:val="auto"/>
          <w:kern w:val="0"/>
          <w:sz w:val="32"/>
          <w:szCs w:val="32"/>
          <w:highlight w:val="none"/>
          <w:lang w:eastAsia="zh-CN"/>
        </w:rPr>
        <w:t>，</w:t>
      </w:r>
      <w:r>
        <w:rPr>
          <w:rFonts w:hint="eastAsia" w:ascii="仿宋_GB2312" w:hAnsi="仿宋_GB2312" w:eastAsia="仿宋_GB2312"/>
          <w:color w:val="auto"/>
          <w:kern w:val="0"/>
          <w:sz w:val="32"/>
          <w:szCs w:val="32"/>
          <w:highlight w:val="none"/>
        </w:rPr>
        <w:t>真实反映信贷资产质量。</w:t>
      </w:r>
    </w:p>
    <w:p>
      <w:pPr>
        <w:keepNext w:val="0"/>
        <w:keepLines w:val="0"/>
        <w:pageBreakBefore w:val="0"/>
        <w:widowControl w:val="0"/>
        <w:kinsoku/>
        <w:wordWrap/>
        <w:autoSpaceDE/>
        <w:autoSpaceDN/>
        <w:bidi w:val="0"/>
        <w:spacing w:line="560" w:lineRule="exact"/>
        <w:ind w:firstLine="560"/>
        <w:textAlignment w:val="auto"/>
        <w:rPr>
          <w:rFonts w:hint="eastAsia" w:ascii="仿宋_GB2312" w:hAnsi="仿宋_GB2312" w:eastAsia="仿宋_GB2312"/>
          <w:color w:val="auto"/>
          <w:kern w:val="0"/>
          <w:sz w:val="32"/>
          <w:szCs w:val="32"/>
          <w:highlight w:val="none"/>
        </w:rPr>
      </w:pPr>
      <w:r>
        <w:rPr>
          <w:rFonts w:hint="eastAsia" w:ascii="仿宋_GB2312" w:hAnsi="仿宋_GB2312" w:eastAsia="仿宋_GB2312"/>
          <w:color w:val="auto"/>
          <w:kern w:val="0"/>
          <w:sz w:val="32"/>
          <w:szCs w:val="32"/>
          <w:highlight w:val="none"/>
        </w:rPr>
        <w:t>本行根据监管文件相关规定，结合不同金融资产类型，实施分类管理，通过现场、非现场查阅和分析，获取债务人财务和非财务信息，结合预期信用损失法、征信评分等数字化分析工具应用，综合评估影响债务人履约的各种因素，进行分类认定。对纳入金融资产风险分类管理的金融资产，经“支行初分、风险分类管理部门认定、</w:t>
      </w:r>
      <w:r>
        <w:rPr>
          <w:rFonts w:hint="eastAsia" w:ascii="仿宋_GB2312" w:hAnsi="仿宋_GB2312" w:eastAsia="仿宋_GB2312"/>
          <w:color w:val="auto"/>
          <w:kern w:val="0"/>
          <w:sz w:val="32"/>
          <w:szCs w:val="32"/>
          <w:highlight w:val="none"/>
          <w:lang w:eastAsia="zh-CN"/>
        </w:rPr>
        <w:t>有权人</w:t>
      </w:r>
      <w:r>
        <w:rPr>
          <w:rFonts w:hint="eastAsia" w:ascii="仿宋_GB2312" w:hAnsi="仿宋_GB2312" w:eastAsia="仿宋_GB2312"/>
          <w:color w:val="auto"/>
          <w:kern w:val="0"/>
          <w:sz w:val="32"/>
          <w:szCs w:val="32"/>
          <w:highlight w:val="none"/>
        </w:rPr>
        <w:t>审批”三级审批流程。</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zh-CN"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截至2026年6月末，各项贷款余额为1895804.78万元，较年初增加95257.84万元。五级类不良贷款余额为21371.95万元，较年初增加4065.06万元。其中</w:t>
      </w:r>
      <w:r>
        <w:rPr>
          <w:rFonts w:hint="eastAsia" w:ascii="Times New Roman" w:hAnsi="Times New Roman" w:eastAsia="仿宋_GB2312" w:cs="Times New Roman"/>
          <w:b w:val="0"/>
          <w:bCs w:val="0"/>
          <w:color w:val="auto"/>
          <w:kern w:val="2"/>
          <w:sz w:val="32"/>
          <w:szCs w:val="32"/>
          <w:highlight w:val="none"/>
          <w:lang w:val="zh-CN" w:eastAsia="zh-CN" w:bidi="ar-SA"/>
        </w:rPr>
        <w:t>正常类贷款1815440.86万元，较年初增加</w:t>
      </w:r>
      <w:r>
        <w:rPr>
          <w:rFonts w:hint="eastAsia" w:ascii="Times New Roman" w:hAnsi="Times New Roman" w:eastAsia="仿宋_GB2312" w:cs="Times New Roman"/>
          <w:b w:val="0"/>
          <w:bCs w:val="0"/>
          <w:color w:val="auto"/>
          <w:kern w:val="2"/>
          <w:sz w:val="32"/>
          <w:szCs w:val="32"/>
          <w:highlight w:val="none"/>
          <w:lang w:val="en-US" w:eastAsia="zh-CN" w:bidi="ar-SA"/>
        </w:rPr>
        <w:t>93797.94万</w:t>
      </w:r>
      <w:r>
        <w:rPr>
          <w:rFonts w:hint="eastAsia" w:ascii="Times New Roman" w:hAnsi="Times New Roman" w:eastAsia="仿宋_GB2312" w:cs="Times New Roman"/>
          <w:b w:val="0"/>
          <w:bCs w:val="0"/>
          <w:color w:val="auto"/>
          <w:kern w:val="2"/>
          <w:sz w:val="32"/>
          <w:szCs w:val="32"/>
          <w:highlight w:val="none"/>
          <w:lang w:val="zh-CN" w:eastAsia="zh-CN" w:bidi="ar-SA"/>
        </w:rPr>
        <w:t>元,占比</w:t>
      </w:r>
      <w:r>
        <w:rPr>
          <w:rFonts w:hint="eastAsia" w:ascii="Times New Roman" w:hAnsi="Times New Roman" w:eastAsia="仿宋_GB2312" w:cs="Times New Roman"/>
          <w:b w:val="0"/>
          <w:bCs w:val="0"/>
          <w:color w:val="auto"/>
          <w:kern w:val="2"/>
          <w:sz w:val="32"/>
          <w:szCs w:val="32"/>
          <w:highlight w:val="none"/>
          <w:lang w:val="en-US" w:eastAsia="zh-CN" w:bidi="ar-SA"/>
        </w:rPr>
        <w:t>95.76%</w:t>
      </w:r>
      <w:r>
        <w:rPr>
          <w:rFonts w:hint="eastAsia" w:ascii="Times New Roman" w:hAnsi="Times New Roman" w:eastAsia="仿宋_GB2312" w:cs="Times New Roman"/>
          <w:b w:val="0"/>
          <w:bCs w:val="0"/>
          <w:color w:val="auto"/>
          <w:kern w:val="2"/>
          <w:sz w:val="32"/>
          <w:szCs w:val="32"/>
          <w:highlight w:val="none"/>
          <w:lang w:val="zh-CN" w:eastAsia="zh-CN" w:bidi="ar-SA"/>
        </w:rPr>
        <w:t>,较年初上升</w:t>
      </w:r>
      <w:r>
        <w:rPr>
          <w:rFonts w:hint="eastAsia" w:ascii="Times New Roman" w:hAnsi="Times New Roman" w:eastAsia="仿宋_GB2312" w:cs="Times New Roman"/>
          <w:b w:val="0"/>
          <w:bCs w:val="0"/>
          <w:color w:val="auto"/>
          <w:kern w:val="2"/>
          <w:sz w:val="32"/>
          <w:szCs w:val="32"/>
          <w:highlight w:val="none"/>
          <w:lang w:val="en-US" w:eastAsia="zh-CN" w:bidi="ar-SA"/>
        </w:rPr>
        <w:t>0.14%</w:t>
      </w:r>
      <w:r>
        <w:rPr>
          <w:rFonts w:hint="eastAsia" w:ascii="Times New Roman" w:hAnsi="Times New Roman" w:eastAsia="仿宋_GB2312" w:cs="Times New Roman"/>
          <w:b w:val="0"/>
          <w:bCs w:val="0"/>
          <w:color w:val="auto"/>
          <w:kern w:val="2"/>
          <w:sz w:val="32"/>
          <w:szCs w:val="32"/>
          <w:highlight w:val="none"/>
          <w:lang w:val="zh-CN" w:eastAsia="zh-CN" w:bidi="ar-SA"/>
        </w:rPr>
        <w:t>;关注类贷款58991.97</w:t>
      </w:r>
      <w:r>
        <w:rPr>
          <w:rFonts w:hint="eastAsia" w:ascii="Times New Roman" w:hAnsi="Times New Roman" w:eastAsia="仿宋_GB2312" w:cs="Times New Roman"/>
          <w:b w:val="0"/>
          <w:bCs w:val="0"/>
          <w:color w:val="auto"/>
          <w:kern w:val="2"/>
          <w:sz w:val="32"/>
          <w:szCs w:val="32"/>
          <w:highlight w:val="none"/>
          <w:lang w:val="en-US" w:eastAsia="zh-CN" w:bidi="ar-SA"/>
        </w:rPr>
        <w:t>万</w:t>
      </w:r>
      <w:r>
        <w:rPr>
          <w:rFonts w:hint="eastAsia" w:ascii="Times New Roman" w:hAnsi="Times New Roman" w:eastAsia="仿宋_GB2312" w:cs="Times New Roman"/>
          <w:b w:val="0"/>
          <w:bCs w:val="0"/>
          <w:color w:val="auto"/>
          <w:kern w:val="2"/>
          <w:sz w:val="32"/>
          <w:szCs w:val="32"/>
          <w:highlight w:val="none"/>
          <w:lang w:val="zh-CN" w:eastAsia="zh-CN" w:bidi="ar-SA"/>
        </w:rPr>
        <w:t>元，较年初减少</w:t>
      </w:r>
      <w:r>
        <w:rPr>
          <w:rFonts w:hint="eastAsia" w:ascii="Times New Roman" w:hAnsi="Times New Roman" w:eastAsia="仿宋_GB2312" w:cs="Times New Roman"/>
          <w:b w:val="0"/>
          <w:bCs w:val="0"/>
          <w:color w:val="auto"/>
          <w:kern w:val="2"/>
          <w:sz w:val="32"/>
          <w:szCs w:val="32"/>
          <w:highlight w:val="none"/>
          <w:lang w:val="en-US" w:eastAsia="zh-CN" w:bidi="ar-SA"/>
        </w:rPr>
        <w:t>2605.16万</w:t>
      </w:r>
      <w:r>
        <w:rPr>
          <w:rFonts w:hint="eastAsia" w:ascii="Times New Roman" w:hAnsi="Times New Roman" w:eastAsia="仿宋_GB2312" w:cs="Times New Roman"/>
          <w:b w:val="0"/>
          <w:bCs w:val="0"/>
          <w:color w:val="auto"/>
          <w:kern w:val="2"/>
          <w:sz w:val="32"/>
          <w:szCs w:val="32"/>
          <w:highlight w:val="none"/>
          <w:lang w:val="zh-CN" w:eastAsia="zh-CN" w:bidi="ar-SA"/>
        </w:rPr>
        <w:t>元,占比</w:t>
      </w:r>
      <w:r>
        <w:rPr>
          <w:rFonts w:hint="eastAsia" w:ascii="Times New Roman" w:hAnsi="Times New Roman" w:eastAsia="仿宋_GB2312" w:cs="Times New Roman"/>
          <w:b w:val="0"/>
          <w:bCs w:val="0"/>
          <w:color w:val="auto"/>
          <w:kern w:val="2"/>
          <w:sz w:val="32"/>
          <w:szCs w:val="32"/>
          <w:highlight w:val="none"/>
          <w:lang w:val="en-US" w:eastAsia="zh-CN" w:bidi="ar-SA"/>
        </w:rPr>
        <w:t>3.11%</w:t>
      </w:r>
      <w:r>
        <w:rPr>
          <w:rFonts w:hint="eastAsia" w:ascii="Times New Roman" w:hAnsi="Times New Roman" w:eastAsia="仿宋_GB2312" w:cs="Times New Roman"/>
          <w:b w:val="0"/>
          <w:bCs w:val="0"/>
          <w:color w:val="auto"/>
          <w:kern w:val="2"/>
          <w:sz w:val="32"/>
          <w:szCs w:val="32"/>
          <w:highlight w:val="none"/>
          <w:lang w:val="zh-CN" w:eastAsia="zh-CN" w:bidi="ar-SA"/>
        </w:rPr>
        <w:t>,较年初下降</w:t>
      </w:r>
      <w:r>
        <w:rPr>
          <w:rFonts w:hint="eastAsia" w:ascii="Times New Roman" w:hAnsi="Times New Roman" w:eastAsia="仿宋_GB2312" w:cs="Times New Roman"/>
          <w:b w:val="0"/>
          <w:bCs w:val="0"/>
          <w:color w:val="auto"/>
          <w:kern w:val="2"/>
          <w:sz w:val="32"/>
          <w:szCs w:val="32"/>
          <w:highlight w:val="none"/>
          <w:lang w:val="en-US" w:eastAsia="zh-CN" w:bidi="ar-SA"/>
        </w:rPr>
        <w:t>0.31%</w:t>
      </w:r>
      <w:r>
        <w:rPr>
          <w:rFonts w:hint="eastAsia" w:ascii="Times New Roman" w:hAnsi="Times New Roman" w:eastAsia="仿宋_GB2312" w:cs="Times New Roman"/>
          <w:b w:val="0"/>
          <w:bCs w:val="0"/>
          <w:color w:val="auto"/>
          <w:kern w:val="2"/>
          <w:sz w:val="32"/>
          <w:szCs w:val="32"/>
          <w:highlight w:val="none"/>
          <w:lang w:val="zh-CN" w:eastAsia="zh-CN" w:bidi="ar-SA"/>
        </w:rPr>
        <w:t>;次级类贷款</w:t>
      </w:r>
      <w:r>
        <w:rPr>
          <w:rFonts w:hint="eastAsia" w:ascii="Times New Roman" w:hAnsi="Times New Roman" w:eastAsia="仿宋_GB2312" w:cs="Times New Roman"/>
          <w:b w:val="0"/>
          <w:bCs w:val="0"/>
          <w:color w:val="auto"/>
          <w:kern w:val="2"/>
          <w:sz w:val="32"/>
          <w:szCs w:val="32"/>
          <w:highlight w:val="none"/>
          <w:lang w:val="en-US" w:eastAsia="zh-CN" w:bidi="ar-SA"/>
        </w:rPr>
        <w:t>18148.9</w:t>
      </w:r>
      <w:r>
        <w:rPr>
          <w:rFonts w:hint="eastAsia" w:ascii="Times New Roman" w:hAnsi="Times New Roman" w:eastAsia="仿宋_GB2312" w:cs="Times New Roman"/>
          <w:b w:val="0"/>
          <w:bCs w:val="0"/>
          <w:color w:val="auto"/>
          <w:kern w:val="2"/>
          <w:sz w:val="32"/>
          <w:szCs w:val="32"/>
          <w:highlight w:val="none"/>
          <w:lang w:val="zh-CN" w:eastAsia="zh-CN" w:bidi="ar-SA"/>
        </w:rPr>
        <w:t>万元，较年初增加</w:t>
      </w:r>
      <w:r>
        <w:rPr>
          <w:rFonts w:hint="eastAsia" w:ascii="Times New Roman" w:hAnsi="Times New Roman" w:eastAsia="仿宋_GB2312" w:cs="Times New Roman"/>
          <w:b w:val="0"/>
          <w:bCs w:val="0"/>
          <w:color w:val="auto"/>
          <w:kern w:val="2"/>
          <w:sz w:val="32"/>
          <w:szCs w:val="32"/>
          <w:highlight w:val="none"/>
          <w:lang w:val="en-US" w:eastAsia="zh-CN" w:bidi="ar-SA"/>
        </w:rPr>
        <w:t>7559.87</w:t>
      </w:r>
      <w:r>
        <w:rPr>
          <w:rFonts w:hint="eastAsia" w:ascii="Times New Roman" w:hAnsi="Times New Roman" w:eastAsia="仿宋_GB2312" w:cs="Times New Roman"/>
          <w:b w:val="0"/>
          <w:bCs w:val="0"/>
          <w:color w:val="auto"/>
          <w:kern w:val="2"/>
          <w:sz w:val="32"/>
          <w:szCs w:val="32"/>
          <w:highlight w:val="none"/>
          <w:lang w:val="zh-CN" w:eastAsia="zh-CN" w:bidi="ar-SA"/>
        </w:rPr>
        <w:t>万元，占比</w:t>
      </w:r>
      <w:r>
        <w:rPr>
          <w:rFonts w:hint="eastAsia" w:ascii="Times New Roman" w:hAnsi="Times New Roman" w:eastAsia="仿宋_GB2312" w:cs="Times New Roman"/>
          <w:b w:val="0"/>
          <w:bCs w:val="0"/>
          <w:color w:val="auto"/>
          <w:kern w:val="2"/>
          <w:sz w:val="32"/>
          <w:szCs w:val="32"/>
          <w:highlight w:val="none"/>
          <w:lang w:val="en-US" w:eastAsia="zh-CN" w:bidi="ar-SA"/>
        </w:rPr>
        <w:t>0.96</w:t>
      </w:r>
      <w:r>
        <w:rPr>
          <w:rFonts w:hint="eastAsia" w:ascii="Times New Roman" w:hAnsi="Times New Roman" w:eastAsia="仿宋_GB2312" w:cs="Times New Roman"/>
          <w:b w:val="0"/>
          <w:bCs w:val="0"/>
          <w:color w:val="auto"/>
          <w:kern w:val="2"/>
          <w:sz w:val="32"/>
          <w:szCs w:val="32"/>
          <w:highlight w:val="none"/>
          <w:lang w:val="zh-CN" w:eastAsia="zh-CN" w:bidi="ar-SA"/>
        </w:rPr>
        <w:t>%，较年初上升</w:t>
      </w:r>
      <w:r>
        <w:rPr>
          <w:rFonts w:hint="eastAsia" w:ascii="Times New Roman" w:hAnsi="Times New Roman" w:eastAsia="仿宋_GB2312" w:cs="Times New Roman"/>
          <w:b w:val="0"/>
          <w:bCs w:val="0"/>
          <w:color w:val="auto"/>
          <w:kern w:val="2"/>
          <w:sz w:val="32"/>
          <w:szCs w:val="32"/>
          <w:highlight w:val="none"/>
          <w:lang w:val="en-US" w:eastAsia="zh-CN" w:bidi="ar-SA"/>
        </w:rPr>
        <w:t>0.37%</w:t>
      </w:r>
      <w:r>
        <w:rPr>
          <w:rFonts w:hint="eastAsia" w:ascii="Times New Roman" w:hAnsi="Times New Roman" w:eastAsia="仿宋_GB2312" w:cs="Times New Roman"/>
          <w:b w:val="0"/>
          <w:bCs w:val="0"/>
          <w:color w:val="auto"/>
          <w:kern w:val="2"/>
          <w:sz w:val="32"/>
          <w:szCs w:val="32"/>
          <w:highlight w:val="none"/>
          <w:lang w:val="zh-CN" w:eastAsia="zh-CN" w:bidi="ar-SA"/>
        </w:rPr>
        <w:t>;可疑类贷款</w:t>
      </w:r>
      <w:r>
        <w:rPr>
          <w:rFonts w:hint="eastAsia" w:ascii="Times New Roman" w:hAnsi="Times New Roman" w:eastAsia="仿宋_GB2312" w:cs="Times New Roman"/>
          <w:b w:val="0"/>
          <w:bCs w:val="0"/>
          <w:color w:val="auto"/>
          <w:kern w:val="2"/>
          <w:sz w:val="32"/>
          <w:szCs w:val="32"/>
          <w:highlight w:val="none"/>
          <w:lang w:val="en-US" w:eastAsia="zh-CN" w:bidi="ar-SA"/>
        </w:rPr>
        <w:t>1227.12</w:t>
      </w:r>
      <w:r>
        <w:rPr>
          <w:rFonts w:hint="eastAsia" w:ascii="Times New Roman" w:hAnsi="Times New Roman" w:eastAsia="仿宋_GB2312" w:cs="Times New Roman"/>
          <w:b w:val="0"/>
          <w:bCs w:val="0"/>
          <w:color w:val="auto"/>
          <w:kern w:val="2"/>
          <w:sz w:val="32"/>
          <w:szCs w:val="32"/>
          <w:highlight w:val="none"/>
          <w:lang w:val="zh-CN" w:eastAsia="zh-CN" w:bidi="ar-SA"/>
        </w:rPr>
        <w:t>万元，较年初减少</w:t>
      </w:r>
      <w:r>
        <w:rPr>
          <w:rFonts w:hint="eastAsia" w:ascii="Times New Roman" w:hAnsi="Times New Roman" w:eastAsia="仿宋_GB2312" w:cs="Times New Roman"/>
          <w:b w:val="0"/>
          <w:bCs w:val="0"/>
          <w:color w:val="auto"/>
          <w:kern w:val="2"/>
          <w:sz w:val="32"/>
          <w:szCs w:val="32"/>
          <w:highlight w:val="none"/>
          <w:lang w:val="en-US" w:eastAsia="zh-CN" w:bidi="ar-SA"/>
        </w:rPr>
        <w:t>3011.45</w:t>
      </w:r>
      <w:r>
        <w:rPr>
          <w:rFonts w:hint="eastAsia" w:ascii="Times New Roman" w:hAnsi="Times New Roman" w:eastAsia="仿宋_GB2312" w:cs="Times New Roman"/>
          <w:b w:val="0"/>
          <w:bCs w:val="0"/>
          <w:color w:val="auto"/>
          <w:kern w:val="2"/>
          <w:sz w:val="32"/>
          <w:szCs w:val="32"/>
          <w:highlight w:val="none"/>
          <w:lang w:val="zh-CN" w:eastAsia="zh-CN" w:bidi="ar-SA"/>
        </w:rPr>
        <w:t>万元，占比</w:t>
      </w:r>
      <w:r>
        <w:rPr>
          <w:rFonts w:hint="eastAsia" w:ascii="Times New Roman" w:hAnsi="Times New Roman" w:eastAsia="仿宋_GB2312" w:cs="Times New Roman"/>
          <w:b w:val="0"/>
          <w:bCs w:val="0"/>
          <w:color w:val="auto"/>
          <w:kern w:val="2"/>
          <w:sz w:val="32"/>
          <w:szCs w:val="32"/>
          <w:highlight w:val="none"/>
          <w:lang w:val="en-US" w:eastAsia="zh-CN" w:bidi="ar-SA"/>
        </w:rPr>
        <w:t>0.06</w:t>
      </w:r>
      <w:r>
        <w:rPr>
          <w:rFonts w:hint="eastAsia" w:ascii="Times New Roman" w:hAnsi="Times New Roman" w:eastAsia="仿宋_GB2312" w:cs="Times New Roman"/>
          <w:b w:val="0"/>
          <w:bCs w:val="0"/>
          <w:color w:val="auto"/>
          <w:kern w:val="2"/>
          <w:sz w:val="32"/>
          <w:szCs w:val="32"/>
          <w:highlight w:val="none"/>
          <w:lang w:val="zh-CN" w:eastAsia="zh-CN" w:bidi="ar-SA"/>
        </w:rPr>
        <w:t>%，较年初下降</w:t>
      </w:r>
      <w:r>
        <w:rPr>
          <w:rFonts w:hint="eastAsia" w:ascii="Times New Roman" w:hAnsi="Times New Roman" w:eastAsia="仿宋_GB2312" w:cs="Times New Roman"/>
          <w:b w:val="0"/>
          <w:bCs w:val="0"/>
          <w:color w:val="auto"/>
          <w:kern w:val="2"/>
          <w:sz w:val="32"/>
          <w:szCs w:val="32"/>
          <w:highlight w:val="none"/>
          <w:lang w:val="en-US" w:eastAsia="zh-CN" w:bidi="ar-SA"/>
        </w:rPr>
        <w:t>0.17%</w:t>
      </w:r>
      <w:r>
        <w:rPr>
          <w:rFonts w:hint="eastAsia" w:ascii="Times New Roman" w:hAnsi="Times New Roman" w:eastAsia="仿宋_GB2312" w:cs="Times New Roman"/>
          <w:b w:val="0"/>
          <w:bCs w:val="0"/>
          <w:color w:val="auto"/>
          <w:kern w:val="2"/>
          <w:sz w:val="32"/>
          <w:szCs w:val="32"/>
          <w:highlight w:val="none"/>
          <w:lang w:val="zh-CN" w:eastAsia="zh-CN" w:bidi="ar-SA"/>
        </w:rPr>
        <w:t>；损失类贷款</w:t>
      </w:r>
      <w:r>
        <w:rPr>
          <w:rFonts w:hint="eastAsia" w:ascii="Times New Roman" w:hAnsi="Times New Roman" w:eastAsia="仿宋_GB2312" w:cs="Times New Roman"/>
          <w:b w:val="0"/>
          <w:bCs w:val="0"/>
          <w:color w:val="auto"/>
          <w:kern w:val="2"/>
          <w:sz w:val="32"/>
          <w:szCs w:val="32"/>
          <w:highlight w:val="none"/>
          <w:lang w:val="en-US" w:eastAsia="zh-CN" w:bidi="ar-SA"/>
        </w:rPr>
        <w:t>1995.93</w:t>
      </w:r>
      <w:r>
        <w:rPr>
          <w:rFonts w:hint="eastAsia" w:ascii="Times New Roman" w:hAnsi="Times New Roman" w:eastAsia="仿宋_GB2312" w:cs="Times New Roman"/>
          <w:b w:val="0"/>
          <w:bCs w:val="0"/>
          <w:color w:val="auto"/>
          <w:kern w:val="2"/>
          <w:sz w:val="32"/>
          <w:szCs w:val="32"/>
          <w:highlight w:val="none"/>
          <w:lang w:val="zh-CN" w:eastAsia="zh-CN" w:bidi="ar-SA"/>
        </w:rPr>
        <w:t>万元，较年初减少</w:t>
      </w:r>
      <w:r>
        <w:rPr>
          <w:rFonts w:hint="eastAsia" w:ascii="Times New Roman" w:hAnsi="Times New Roman" w:eastAsia="仿宋_GB2312" w:cs="Times New Roman"/>
          <w:b w:val="0"/>
          <w:bCs w:val="0"/>
          <w:color w:val="auto"/>
          <w:kern w:val="2"/>
          <w:sz w:val="32"/>
          <w:szCs w:val="32"/>
          <w:highlight w:val="none"/>
          <w:lang w:val="en-US" w:eastAsia="zh-CN" w:bidi="ar-SA"/>
        </w:rPr>
        <w:t>483.36</w:t>
      </w:r>
      <w:r>
        <w:rPr>
          <w:rFonts w:hint="eastAsia" w:ascii="Times New Roman" w:hAnsi="Times New Roman" w:eastAsia="仿宋_GB2312" w:cs="Times New Roman"/>
          <w:b w:val="0"/>
          <w:bCs w:val="0"/>
          <w:color w:val="auto"/>
          <w:kern w:val="2"/>
          <w:sz w:val="32"/>
          <w:szCs w:val="32"/>
          <w:highlight w:val="none"/>
          <w:lang w:val="zh-CN" w:eastAsia="zh-CN" w:bidi="ar-SA"/>
        </w:rPr>
        <w:t>万元，占比</w:t>
      </w:r>
      <w:r>
        <w:rPr>
          <w:rFonts w:hint="eastAsia" w:ascii="Times New Roman" w:hAnsi="Times New Roman" w:eastAsia="仿宋_GB2312" w:cs="Times New Roman"/>
          <w:b w:val="0"/>
          <w:bCs w:val="0"/>
          <w:color w:val="auto"/>
          <w:kern w:val="2"/>
          <w:sz w:val="32"/>
          <w:szCs w:val="32"/>
          <w:highlight w:val="none"/>
          <w:lang w:val="en-US" w:eastAsia="zh-CN" w:bidi="ar-SA"/>
        </w:rPr>
        <w:t>0.11</w:t>
      </w:r>
      <w:r>
        <w:rPr>
          <w:rFonts w:hint="eastAsia" w:ascii="Times New Roman" w:hAnsi="Times New Roman" w:eastAsia="仿宋_GB2312" w:cs="Times New Roman"/>
          <w:b w:val="0"/>
          <w:bCs w:val="0"/>
          <w:color w:val="auto"/>
          <w:kern w:val="2"/>
          <w:sz w:val="32"/>
          <w:szCs w:val="32"/>
          <w:highlight w:val="none"/>
          <w:lang w:val="zh-CN" w:eastAsia="zh-CN" w:bidi="ar-SA"/>
        </w:rPr>
        <w:t>%，较年初下降</w:t>
      </w:r>
      <w:r>
        <w:rPr>
          <w:rFonts w:hint="eastAsia" w:ascii="Times New Roman" w:hAnsi="Times New Roman" w:eastAsia="仿宋_GB2312" w:cs="Times New Roman"/>
          <w:b w:val="0"/>
          <w:bCs w:val="0"/>
          <w:color w:val="auto"/>
          <w:kern w:val="2"/>
          <w:sz w:val="32"/>
          <w:szCs w:val="32"/>
          <w:highlight w:val="none"/>
          <w:lang w:val="en-US" w:eastAsia="zh-CN" w:bidi="ar-SA"/>
        </w:rPr>
        <w:t>0.03%</w:t>
      </w:r>
      <w:r>
        <w:rPr>
          <w:rFonts w:hint="eastAsia" w:ascii="Times New Roman" w:hAnsi="Times New Roman" w:eastAsia="仿宋_GB2312" w:cs="Times New Roman"/>
          <w:b w:val="0"/>
          <w:bCs w:val="0"/>
          <w:color w:val="auto"/>
          <w:kern w:val="2"/>
          <w:sz w:val="32"/>
          <w:szCs w:val="32"/>
          <w:highlight w:val="none"/>
          <w:lang w:val="zh-CN"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zh-CN" w:eastAsia="zh-CN" w:bidi="ar-SA"/>
        </w:rPr>
      </w:pPr>
      <w:r>
        <w:rPr>
          <w:rFonts w:hint="eastAsia" w:ascii="Times New Roman" w:hAnsi="Times New Roman" w:eastAsia="仿宋_GB2312" w:cs="Times New Roman"/>
          <w:b w:val="0"/>
          <w:bCs w:val="0"/>
          <w:color w:val="auto"/>
          <w:kern w:val="2"/>
          <w:sz w:val="32"/>
          <w:szCs w:val="32"/>
          <w:highlight w:val="none"/>
          <w:lang w:val="zh-CN" w:eastAsia="zh-CN" w:bidi="ar-SA"/>
        </w:rPr>
        <w:t>规范非信贷资产风险分类，实行穿透式管理，根据基础资产的风险状况，合理确定风险类别，真实反映非信贷资产质量，足额计提减值准备。</w:t>
      </w:r>
      <w:r>
        <w:rPr>
          <w:rFonts w:hint="eastAsia" w:ascii="Times New Roman" w:hAnsi="Times New Roman" w:eastAsia="仿宋_GB2312" w:cs="Times New Roman"/>
          <w:b w:val="0"/>
          <w:bCs w:val="0"/>
          <w:color w:val="auto"/>
          <w:kern w:val="2"/>
          <w:sz w:val="32"/>
          <w:szCs w:val="32"/>
          <w:highlight w:val="none"/>
          <w:lang w:val="en-US" w:eastAsia="zh-CN" w:bidi="ar-SA"/>
        </w:rPr>
        <w:t>截至2026年6月末，</w:t>
      </w:r>
      <w:r>
        <w:rPr>
          <w:rFonts w:hint="eastAsia" w:ascii="Times New Roman" w:hAnsi="Times New Roman" w:eastAsia="仿宋_GB2312" w:cs="Times New Roman"/>
          <w:b w:val="0"/>
          <w:bCs w:val="0"/>
          <w:color w:val="auto"/>
          <w:kern w:val="2"/>
          <w:sz w:val="32"/>
          <w:szCs w:val="32"/>
          <w:highlight w:val="none"/>
          <w:lang w:val="zh-CN" w:eastAsia="zh-CN" w:bidi="ar-SA"/>
        </w:rPr>
        <w:t>安全性非信贷资产余额</w:t>
      </w:r>
      <w:r>
        <w:rPr>
          <w:rFonts w:hint="eastAsia" w:ascii="Times New Roman" w:hAnsi="Times New Roman" w:eastAsia="仿宋_GB2312" w:cs="Times New Roman"/>
          <w:b w:val="0"/>
          <w:bCs w:val="0"/>
          <w:color w:val="auto"/>
          <w:kern w:val="2"/>
          <w:sz w:val="32"/>
          <w:szCs w:val="32"/>
          <w:highlight w:val="none"/>
          <w:lang w:val="en-US" w:eastAsia="zh-CN" w:bidi="ar-SA"/>
        </w:rPr>
        <w:t>289765.37</w:t>
      </w:r>
      <w:r>
        <w:rPr>
          <w:rFonts w:hint="eastAsia" w:ascii="Times New Roman" w:hAnsi="Times New Roman" w:eastAsia="仿宋_GB2312" w:cs="Times New Roman"/>
          <w:b w:val="0"/>
          <w:bCs w:val="0"/>
          <w:color w:val="auto"/>
          <w:kern w:val="2"/>
          <w:sz w:val="32"/>
          <w:szCs w:val="32"/>
          <w:highlight w:val="none"/>
          <w:lang w:val="zh-CN" w:eastAsia="zh-CN" w:bidi="ar-SA"/>
        </w:rPr>
        <w:t>万元，较年初上升</w:t>
      </w:r>
      <w:r>
        <w:rPr>
          <w:rFonts w:hint="eastAsia" w:ascii="Times New Roman" w:hAnsi="Times New Roman" w:eastAsia="仿宋_GB2312" w:cs="Times New Roman"/>
          <w:b w:val="0"/>
          <w:bCs w:val="0"/>
          <w:color w:val="auto"/>
          <w:kern w:val="2"/>
          <w:sz w:val="32"/>
          <w:szCs w:val="32"/>
          <w:highlight w:val="none"/>
          <w:lang w:val="en-US" w:eastAsia="zh-CN" w:bidi="ar-SA"/>
        </w:rPr>
        <w:t>135927.35</w:t>
      </w:r>
      <w:r>
        <w:rPr>
          <w:rFonts w:hint="eastAsia" w:ascii="Times New Roman" w:hAnsi="Times New Roman" w:eastAsia="仿宋_GB2312" w:cs="Times New Roman"/>
          <w:b w:val="0"/>
          <w:bCs w:val="0"/>
          <w:color w:val="auto"/>
          <w:kern w:val="2"/>
          <w:sz w:val="32"/>
          <w:szCs w:val="32"/>
          <w:highlight w:val="none"/>
          <w:lang w:val="zh-CN" w:eastAsia="zh-CN" w:bidi="ar-SA"/>
        </w:rPr>
        <w:t>万元；风险性非信贷资产余额</w:t>
      </w:r>
      <w:r>
        <w:rPr>
          <w:rFonts w:hint="eastAsia" w:ascii="Times New Roman" w:hAnsi="Times New Roman" w:eastAsia="仿宋_GB2312" w:cs="Times New Roman"/>
          <w:b w:val="0"/>
          <w:bCs w:val="0"/>
          <w:color w:val="auto"/>
          <w:kern w:val="2"/>
          <w:sz w:val="32"/>
          <w:szCs w:val="32"/>
          <w:highlight w:val="none"/>
          <w:lang w:val="en-US" w:eastAsia="zh-CN" w:bidi="ar-SA"/>
        </w:rPr>
        <w:t>1266660.35</w:t>
      </w:r>
      <w:r>
        <w:rPr>
          <w:rFonts w:hint="eastAsia" w:ascii="Times New Roman" w:hAnsi="Times New Roman" w:eastAsia="仿宋_GB2312" w:cs="Times New Roman"/>
          <w:b w:val="0"/>
          <w:bCs w:val="0"/>
          <w:color w:val="auto"/>
          <w:kern w:val="2"/>
          <w:sz w:val="32"/>
          <w:szCs w:val="32"/>
          <w:highlight w:val="none"/>
          <w:lang w:val="zh-CN" w:eastAsia="zh-CN" w:bidi="ar-SA"/>
        </w:rPr>
        <w:t>万元，较年初下降</w:t>
      </w:r>
      <w:r>
        <w:rPr>
          <w:rFonts w:hint="eastAsia" w:ascii="Times New Roman" w:hAnsi="Times New Roman" w:eastAsia="仿宋_GB2312" w:cs="Times New Roman"/>
          <w:b w:val="0"/>
          <w:bCs w:val="0"/>
          <w:color w:val="auto"/>
          <w:kern w:val="2"/>
          <w:sz w:val="32"/>
          <w:szCs w:val="32"/>
          <w:highlight w:val="none"/>
          <w:lang w:val="en-US" w:eastAsia="zh-CN" w:bidi="ar-SA"/>
        </w:rPr>
        <w:t>41484.25</w:t>
      </w:r>
      <w:r>
        <w:rPr>
          <w:rFonts w:hint="eastAsia" w:ascii="Times New Roman" w:hAnsi="Times New Roman" w:eastAsia="仿宋_GB2312" w:cs="Times New Roman"/>
          <w:b w:val="0"/>
          <w:bCs w:val="0"/>
          <w:color w:val="auto"/>
          <w:kern w:val="2"/>
          <w:sz w:val="32"/>
          <w:szCs w:val="32"/>
          <w:highlight w:val="none"/>
          <w:lang w:val="zh-CN" w:eastAsia="zh-CN" w:bidi="ar-SA"/>
        </w:rPr>
        <w:t>万元</w:t>
      </w:r>
      <w:r>
        <w:rPr>
          <w:rFonts w:hint="eastAsia" w:ascii="Times New Roman" w:hAnsi="Times New Roman" w:eastAsia="仿宋_GB2312" w:cs="Times New Roman"/>
          <w:b w:val="0"/>
          <w:bCs w:val="0"/>
          <w:color w:val="auto"/>
          <w:kern w:val="2"/>
          <w:sz w:val="32"/>
          <w:szCs w:val="32"/>
          <w:highlight w:val="none"/>
          <w:lang w:val="en-US" w:eastAsia="zh-CN" w:bidi="ar-SA"/>
        </w:rPr>
        <w:t>。</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olor w:val="auto"/>
          <w:kern w:val="0"/>
          <w:sz w:val="32"/>
          <w:szCs w:val="32"/>
          <w:highlight w:val="none"/>
        </w:rPr>
      </w:pPr>
      <w:r>
        <w:rPr>
          <w:rFonts w:hint="eastAsia" w:ascii="仿宋_GB2312" w:hAnsi="仿宋_GB2312" w:eastAsia="仿宋_GB2312"/>
          <w:color w:val="auto"/>
          <w:kern w:val="0"/>
          <w:sz w:val="32"/>
          <w:szCs w:val="32"/>
          <w:highlight w:val="none"/>
          <w:lang w:val="en-US" w:eastAsia="zh-CN"/>
        </w:rPr>
        <w:t>4.</w:t>
      </w:r>
      <w:r>
        <w:rPr>
          <w:rFonts w:hint="eastAsia" w:ascii="仿宋_GB2312" w:hAnsi="仿宋_GB2312" w:eastAsia="仿宋_GB2312"/>
          <w:color w:val="auto"/>
          <w:kern w:val="0"/>
          <w:sz w:val="32"/>
          <w:szCs w:val="32"/>
          <w:highlight w:val="none"/>
        </w:rPr>
        <w:t>不断加强贷后管理，完善季检年检工作。每月对到期贷款进行批量检验，贷款检验中根据检验结果，对客户授信额度相应进行“调增、维持、调减、取消”。对于非取消授信额度客户，按照正常贷款流程进行贷后管理；对于取消类授信客户，如未能直接退出，进行名单制管理，“一对一”制定处置预案，切实发挥季检年检在贷后管理中的作用。同时不断加强大额贷款的贷后管理，优化流程，完善贷后管理系统，努力通过提升科技支撑，提高贷后检查的效率和效果。</w:t>
      </w:r>
    </w:p>
    <w:p>
      <w:pPr>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hint="eastAsia" w:ascii="楷体_GB2312" w:hAnsi="仿宋_GB2312" w:eastAsia="楷体_GB2312"/>
          <w:color w:val="auto"/>
          <w:kern w:val="0"/>
          <w:sz w:val="32"/>
          <w:szCs w:val="32"/>
          <w:highlight w:val="none"/>
          <w:lang w:eastAsia="zh-CN"/>
        </w:rPr>
      </w:pPr>
      <w:r>
        <w:rPr>
          <w:rFonts w:hint="eastAsia" w:ascii="楷体_GB2312" w:hAnsi="仿宋_GB2312" w:eastAsia="楷体_GB2312"/>
          <w:color w:val="auto"/>
          <w:kern w:val="0"/>
          <w:sz w:val="32"/>
          <w:szCs w:val="32"/>
          <w:highlight w:val="none"/>
        </w:rPr>
        <w:t>(二)市场风险管理</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宋体" w:eastAsia="仿宋_GB2312" w:cs="Times New Roman"/>
          <w:color w:val="auto"/>
          <w:sz w:val="32"/>
          <w:szCs w:val="32"/>
          <w:highlight w:val="none"/>
        </w:rPr>
      </w:pPr>
      <w:bookmarkStart w:id="16" w:name="_Toc12475"/>
      <w:r>
        <w:rPr>
          <w:rFonts w:hint="eastAsia" w:ascii="仿宋_GB2312" w:hAnsi="仿宋_GB2312" w:eastAsia="仿宋_GB2312"/>
          <w:color w:val="auto"/>
          <w:kern w:val="0"/>
          <w:sz w:val="32"/>
          <w:szCs w:val="32"/>
          <w:highlight w:val="none"/>
        </w:rPr>
        <w:t>市场风险是指因市场价格 (利率、汇率、商品价格和股票价格等)发生不利变动而使本行表内外业务发生损失的风险。</w:t>
      </w:r>
      <w:r>
        <w:rPr>
          <w:rFonts w:hint="eastAsia" w:ascii="仿宋_GB2312" w:hAnsi="宋体" w:eastAsia="仿宋_GB2312" w:cs="Times New Roman"/>
          <w:color w:val="auto"/>
          <w:sz w:val="32"/>
          <w:szCs w:val="32"/>
          <w:highlight w:val="none"/>
        </w:rPr>
        <w:t>目前本行的市场风险主要是利率风险，金融产品主要为金融机构间的存放同业、同业投资、同业存单、票据转贴、债券买卖，均是在银行间市场进行，存在市场利率、转贴现利率、债券价格和市场行情等多种因素影响，债券买卖业务受到市场波动影响大，需要把握市场行情。</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2026年上半年，本行继续完善市场风险管理政策体系，进一步推进市场风险管理，加强市场风险监控和报告，充分运用浮动利率机制，严格利率审批；坚持审慎经营策略，积极探索发展中间业务，规避、抵补利率风险，不断提升市场风险管理水平。</w:t>
      </w:r>
      <w:bookmarkEnd w:id="16"/>
      <w:r>
        <w:rPr>
          <w:rFonts w:hint="eastAsia" w:ascii="Times New Roman" w:hAnsi="Times New Roman" w:eastAsia="仿宋_GB2312" w:cs="Times New Roman"/>
          <w:b w:val="0"/>
          <w:bCs w:val="0"/>
          <w:color w:val="auto"/>
          <w:kern w:val="2"/>
          <w:sz w:val="32"/>
          <w:szCs w:val="32"/>
          <w:highlight w:val="none"/>
          <w:lang w:val="en-US" w:eastAsia="zh-CN" w:bidi="ar-SA"/>
        </w:rPr>
        <w:t xml:space="preserve"> </w:t>
      </w:r>
      <w:bookmarkStart w:id="17" w:name="_Toc8966"/>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ascii="仿宋_GB2312" w:eastAsia="仿宋_GB2312"/>
          <w:b/>
          <w:bCs/>
          <w:color w:val="auto"/>
          <w:sz w:val="32"/>
          <w:szCs w:val="32"/>
          <w:highlight w:val="none"/>
        </w:rPr>
      </w:pPr>
      <w:r>
        <w:rPr>
          <w:rFonts w:hint="eastAsia" w:ascii="仿宋_GB2312" w:hAnsi="仿宋_GB2312" w:eastAsia="仿宋_GB2312"/>
          <w:color w:val="auto"/>
          <w:kern w:val="0"/>
          <w:sz w:val="32"/>
          <w:szCs w:val="32"/>
          <w:highlight w:val="none"/>
        </w:rPr>
        <w:t>加强金融市场业务风险管控。资金业务坚持“明确定位、适度参与、审慎经营、稳健发展”的原则，在强化内控制度和风险管理的前提下因地制宜开展业务。前中后台分离，岗位职责明确，形成各司其职、互相监督、互相制约的工作机制。进一步发挥金融市场部风险派驻人员作用，明确和细化其工作内容和规范。</w:t>
      </w:r>
      <w:bookmarkEnd w:id="17"/>
      <w:r>
        <w:rPr>
          <w:rFonts w:hint="eastAsia" w:ascii="仿宋_GB2312" w:hAnsi="仿宋_GB2312" w:eastAsia="仿宋_GB2312"/>
          <w:color w:val="auto"/>
          <w:kern w:val="0"/>
          <w:sz w:val="32"/>
          <w:szCs w:val="32"/>
          <w:highlight w:val="none"/>
        </w:rPr>
        <w:t>紧盯市场利率变化，及时评估对银行业务盈亏的影响，持续完善利率定价机制，增强可持续发展能力。强化市场风险限额监测与管理，及时对超限额情况进行预警与处置。充分识别并评估新业务、新产品中存在的市场风险，提前制定应对措施。</w:t>
      </w:r>
    </w:p>
    <w:p>
      <w:pPr>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hint="eastAsia" w:ascii="楷体_GB2312" w:hAnsi="仿宋_GB2312" w:eastAsia="楷体_GB2312" w:cs="Times New Roman"/>
          <w:color w:val="auto"/>
          <w:kern w:val="0"/>
          <w:sz w:val="32"/>
          <w:szCs w:val="32"/>
          <w:highlight w:val="none"/>
          <w:lang w:eastAsia="zh-CN"/>
        </w:rPr>
      </w:pPr>
      <w:r>
        <w:rPr>
          <w:rFonts w:hint="eastAsia" w:ascii="楷体_GB2312" w:hAnsi="仿宋_GB2312" w:eastAsia="楷体_GB2312" w:cs="Times New Roman"/>
          <w:color w:val="auto"/>
          <w:kern w:val="0"/>
          <w:sz w:val="32"/>
          <w:szCs w:val="32"/>
          <w:highlight w:val="none"/>
        </w:rPr>
        <w:t>(三)流动性风险管理</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Times New Roman"/>
          <w:color w:val="auto"/>
          <w:kern w:val="0"/>
          <w:sz w:val="32"/>
          <w:szCs w:val="32"/>
          <w:highlight w:val="none"/>
        </w:rPr>
      </w:pPr>
      <w:r>
        <w:rPr>
          <w:rFonts w:hint="eastAsia" w:ascii="仿宋_GB2312" w:hAnsi="仿宋_GB2312" w:eastAsia="仿宋_GB2312" w:cs="Times New Roman"/>
          <w:color w:val="auto"/>
          <w:kern w:val="0"/>
          <w:sz w:val="32"/>
          <w:szCs w:val="32"/>
          <w:highlight w:val="none"/>
        </w:rPr>
        <w:t>流动性风险是指虽然有清偿能力，但无法及时获得充足资金或无法以合理成本及时获得充足资金以应对资产增长或支付到期债务的风险。</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Times New Roman"/>
          <w:color w:val="auto"/>
          <w:kern w:val="0"/>
          <w:sz w:val="32"/>
          <w:szCs w:val="32"/>
          <w:highlight w:val="none"/>
        </w:rPr>
      </w:pPr>
      <w:r>
        <w:rPr>
          <w:rFonts w:hint="eastAsia" w:ascii="仿宋_GB2312" w:hAnsi="仿宋_GB2312" w:eastAsia="仿宋_GB2312" w:cs="Times New Roman"/>
          <w:color w:val="auto"/>
          <w:kern w:val="0"/>
          <w:sz w:val="32"/>
          <w:szCs w:val="32"/>
          <w:highlight w:val="none"/>
        </w:rPr>
        <w:t>本行流动性风险管理目标是在满足监管要求的基础上，保持合理的流动性水平，保障支付和清算安全，同时充分、合理运用资金，提高资金使用效率。</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Times New Roman"/>
          <w:color w:val="auto"/>
          <w:kern w:val="0"/>
          <w:sz w:val="32"/>
          <w:szCs w:val="32"/>
          <w:highlight w:val="none"/>
          <w:lang w:val="zh-CN"/>
        </w:rPr>
      </w:pPr>
      <w:r>
        <w:rPr>
          <w:rFonts w:hint="eastAsia" w:ascii="仿宋_GB2312" w:hAnsi="仿宋_GB2312" w:eastAsia="仿宋_GB2312" w:cs="Times New Roman"/>
          <w:color w:val="auto"/>
          <w:kern w:val="0"/>
          <w:sz w:val="32"/>
          <w:szCs w:val="32"/>
          <w:highlight w:val="none"/>
        </w:rPr>
        <w:t>本行建立与流动性风险特点相适应的</w:t>
      </w:r>
      <w:r>
        <w:rPr>
          <w:rFonts w:hint="eastAsia" w:ascii="仿宋_GB2312" w:hAnsi="仿宋_GB2312" w:eastAsia="仿宋_GB2312" w:cs="Times New Roman"/>
          <w:color w:val="auto"/>
          <w:kern w:val="0"/>
          <w:sz w:val="32"/>
          <w:szCs w:val="32"/>
          <w:highlight w:val="none"/>
          <w:lang w:eastAsia="zh-CN"/>
        </w:rPr>
        <w:t>流动性风险管理</w:t>
      </w:r>
      <w:r>
        <w:rPr>
          <w:rFonts w:hint="eastAsia" w:ascii="仿宋_GB2312" w:hAnsi="仿宋_GB2312" w:eastAsia="仿宋_GB2312" w:cs="Times New Roman"/>
          <w:color w:val="auto"/>
          <w:kern w:val="0"/>
          <w:sz w:val="32"/>
          <w:szCs w:val="32"/>
          <w:highlight w:val="none"/>
        </w:rPr>
        <w:t>组织架构，包括董事会、风险管理和关联交易控制委员会、高级管理层、风险管理</w:t>
      </w:r>
      <w:r>
        <w:rPr>
          <w:rFonts w:hint="eastAsia" w:ascii="仿宋_GB2312" w:hAnsi="仿宋_GB2312" w:eastAsia="仿宋_GB2312" w:cs="Times New Roman"/>
          <w:color w:val="auto"/>
          <w:kern w:val="0"/>
          <w:sz w:val="32"/>
          <w:szCs w:val="32"/>
          <w:highlight w:val="none"/>
          <w:lang w:eastAsia="zh-CN"/>
        </w:rPr>
        <w:t>部</w:t>
      </w:r>
      <w:r>
        <w:rPr>
          <w:rFonts w:hint="eastAsia" w:ascii="仿宋_GB2312" w:hAnsi="仿宋_GB2312" w:eastAsia="仿宋_GB2312" w:cs="Times New Roman"/>
          <w:color w:val="auto"/>
          <w:kern w:val="0"/>
          <w:sz w:val="32"/>
          <w:szCs w:val="32"/>
          <w:highlight w:val="none"/>
        </w:rPr>
        <w:t>、计划财务部、运营管理部、金融市场部。董事会承担流动性风险管理的最终职责</w:t>
      </w:r>
      <w:r>
        <w:rPr>
          <w:rFonts w:hint="eastAsia" w:ascii="仿宋_GB2312" w:hAnsi="仿宋_GB2312" w:eastAsia="仿宋_GB2312" w:cs="Times New Roman"/>
          <w:color w:val="auto"/>
          <w:kern w:val="0"/>
          <w:sz w:val="32"/>
          <w:szCs w:val="32"/>
          <w:highlight w:val="none"/>
          <w:lang w:eastAsia="zh-CN"/>
        </w:rPr>
        <w:t>，</w:t>
      </w:r>
      <w:r>
        <w:rPr>
          <w:rFonts w:hint="eastAsia" w:ascii="仿宋_GB2312" w:hAnsi="仿宋_GB2312" w:eastAsia="仿宋_GB2312" w:cs="Times New Roman"/>
          <w:color w:val="auto"/>
          <w:kern w:val="0"/>
          <w:sz w:val="32"/>
          <w:szCs w:val="32"/>
          <w:highlight w:val="none"/>
        </w:rPr>
        <w:t>高级管理层负责流动性风险的具体管理工作，本行相关部门及所有支行各负其责，加强协作，共同做好流动性管理工作</w:t>
      </w:r>
      <w:r>
        <w:rPr>
          <w:rFonts w:hint="eastAsia" w:ascii="仿宋_GB2312" w:hAnsi="仿宋_GB2312" w:eastAsia="仿宋_GB2312" w:cs="Times New Roman"/>
          <w:color w:val="auto"/>
          <w:kern w:val="0"/>
          <w:sz w:val="32"/>
          <w:szCs w:val="32"/>
          <w:highlight w:val="none"/>
          <w:lang w:eastAsia="zh-CN"/>
        </w:rPr>
        <w:t>。</w:t>
      </w:r>
      <w:r>
        <w:rPr>
          <w:rFonts w:hint="eastAsia" w:ascii="仿宋_GB2312" w:hAnsi="仿宋_GB2312" w:eastAsia="仿宋_GB2312" w:cs="Times New Roman"/>
          <w:color w:val="auto"/>
          <w:kern w:val="0"/>
          <w:sz w:val="32"/>
          <w:szCs w:val="32"/>
          <w:highlight w:val="none"/>
        </w:rPr>
        <w:t>风险管理部作为全面风险管理牵头部门，主要负责</w:t>
      </w:r>
      <w:r>
        <w:rPr>
          <w:rFonts w:hint="eastAsia" w:ascii="仿宋_GB2312" w:hAnsi="仿宋_GB2312" w:eastAsia="仿宋_GB2312" w:cs="Times New Roman"/>
          <w:color w:val="auto"/>
          <w:kern w:val="0"/>
          <w:sz w:val="32"/>
          <w:szCs w:val="32"/>
          <w:highlight w:val="none"/>
          <w:lang w:eastAsia="zh-CN"/>
        </w:rPr>
        <w:t>流动性</w:t>
      </w:r>
      <w:r>
        <w:rPr>
          <w:rFonts w:hint="eastAsia" w:ascii="仿宋_GB2312" w:hAnsi="仿宋_GB2312" w:eastAsia="仿宋_GB2312" w:cs="Times New Roman"/>
          <w:color w:val="auto"/>
          <w:kern w:val="0"/>
          <w:sz w:val="32"/>
          <w:szCs w:val="32"/>
          <w:highlight w:val="none"/>
        </w:rPr>
        <w:t>风险的统筹管理工作</w:t>
      </w:r>
      <w:r>
        <w:rPr>
          <w:rFonts w:hint="eastAsia" w:ascii="仿宋_GB2312" w:hAnsi="仿宋_GB2312" w:eastAsia="仿宋_GB2312" w:cs="Times New Roman"/>
          <w:color w:val="auto"/>
          <w:kern w:val="0"/>
          <w:sz w:val="32"/>
          <w:szCs w:val="32"/>
          <w:highlight w:val="none"/>
          <w:lang w:eastAsia="zh-CN"/>
        </w:rPr>
        <w:t>；</w:t>
      </w:r>
      <w:r>
        <w:rPr>
          <w:rFonts w:hint="eastAsia" w:ascii="仿宋_GB2312" w:hAnsi="仿宋_GB2312" w:eastAsia="仿宋_GB2312" w:cs="Times New Roman"/>
          <w:color w:val="auto"/>
          <w:kern w:val="0"/>
          <w:sz w:val="32"/>
          <w:szCs w:val="32"/>
          <w:highlight w:val="none"/>
        </w:rPr>
        <w:t>计划财务部履行流动性风险的归口管理职能</w:t>
      </w:r>
      <w:r>
        <w:rPr>
          <w:rFonts w:hint="eastAsia" w:ascii="仿宋_GB2312" w:hAnsi="仿宋_GB2312" w:eastAsia="仿宋_GB2312" w:cs="Times New Roman"/>
          <w:color w:val="auto"/>
          <w:kern w:val="0"/>
          <w:sz w:val="32"/>
          <w:szCs w:val="32"/>
          <w:highlight w:val="none"/>
          <w:lang w:eastAsia="zh-CN"/>
        </w:rPr>
        <w:t>，</w:t>
      </w:r>
      <w:r>
        <w:rPr>
          <w:rFonts w:hint="eastAsia" w:ascii="仿宋_GB2312" w:hAnsi="仿宋_GB2312" w:eastAsia="仿宋_GB2312" w:cs="Times New Roman"/>
          <w:color w:val="auto"/>
          <w:kern w:val="0"/>
          <w:sz w:val="32"/>
          <w:szCs w:val="32"/>
          <w:highlight w:val="none"/>
        </w:rPr>
        <w:t>及时关注流动性监管指标，做好流动性风险</w:t>
      </w:r>
      <w:r>
        <w:rPr>
          <w:rFonts w:hint="eastAsia" w:ascii="仿宋_GB2312" w:hAnsi="仿宋_GB2312" w:eastAsia="仿宋_GB2312" w:cs="Times New Roman"/>
          <w:color w:val="auto"/>
          <w:kern w:val="0"/>
          <w:sz w:val="32"/>
          <w:szCs w:val="32"/>
          <w:highlight w:val="none"/>
          <w:lang w:eastAsia="zh-CN"/>
        </w:rPr>
        <w:t>具体</w:t>
      </w:r>
      <w:r>
        <w:rPr>
          <w:rFonts w:hint="eastAsia" w:ascii="仿宋_GB2312" w:hAnsi="仿宋_GB2312" w:eastAsia="仿宋_GB2312" w:cs="Times New Roman"/>
          <w:color w:val="auto"/>
          <w:kern w:val="0"/>
          <w:sz w:val="32"/>
          <w:szCs w:val="32"/>
          <w:highlight w:val="none"/>
        </w:rPr>
        <w:t>管理</w:t>
      </w:r>
      <w:r>
        <w:rPr>
          <w:rFonts w:hint="eastAsia" w:ascii="仿宋_GB2312" w:hAnsi="仿宋_GB2312" w:eastAsia="仿宋_GB2312" w:cs="Times New Roman"/>
          <w:color w:val="auto"/>
          <w:kern w:val="0"/>
          <w:sz w:val="32"/>
          <w:szCs w:val="32"/>
          <w:highlight w:val="none"/>
          <w:lang w:eastAsia="zh-CN"/>
        </w:rPr>
        <w:t>工作；</w:t>
      </w:r>
      <w:r>
        <w:rPr>
          <w:rFonts w:hint="eastAsia" w:ascii="仿宋_GB2312" w:hAnsi="仿宋_GB2312" w:eastAsia="仿宋_GB2312" w:cs="Times New Roman"/>
          <w:color w:val="auto"/>
          <w:kern w:val="0"/>
          <w:sz w:val="32"/>
          <w:szCs w:val="32"/>
          <w:highlight w:val="none"/>
        </w:rPr>
        <w:t>信贷管理部负责合理安排贷款期限结构，控制中长期贷款比例，提高信贷资产的质量和流动性</w:t>
      </w:r>
      <w:r>
        <w:rPr>
          <w:rFonts w:hint="eastAsia" w:ascii="仿宋_GB2312" w:hAnsi="仿宋_GB2312" w:eastAsia="仿宋_GB2312" w:cs="Times New Roman"/>
          <w:color w:val="auto"/>
          <w:kern w:val="0"/>
          <w:sz w:val="32"/>
          <w:szCs w:val="32"/>
          <w:highlight w:val="none"/>
          <w:lang w:eastAsia="zh-CN"/>
        </w:rPr>
        <w:t>；</w:t>
      </w:r>
      <w:r>
        <w:rPr>
          <w:rFonts w:hint="eastAsia" w:ascii="仿宋_GB2312" w:hAnsi="仿宋_GB2312" w:eastAsia="仿宋_GB2312" w:cs="Times New Roman"/>
          <w:color w:val="auto"/>
          <w:kern w:val="0"/>
          <w:sz w:val="32"/>
          <w:szCs w:val="32"/>
          <w:highlight w:val="none"/>
        </w:rPr>
        <w:t>运营管理部加强日间头寸的管理，保障充足的支付能力</w:t>
      </w:r>
      <w:r>
        <w:rPr>
          <w:rFonts w:hint="eastAsia" w:ascii="仿宋_GB2312" w:hAnsi="仿宋_GB2312" w:eastAsia="仿宋_GB2312" w:cs="Times New Roman"/>
          <w:color w:val="auto"/>
          <w:kern w:val="0"/>
          <w:sz w:val="32"/>
          <w:szCs w:val="32"/>
          <w:highlight w:val="none"/>
          <w:lang w:eastAsia="zh-CN"/>
        </w:rPr>
        <w:t>；</w:t>
      </w:r>
      <w:r>
        <w:rPr>
          <w:rFonts w:hint="eastAsia" w:ascii="仿宋_GB2312" w:hAnsi="仿宋_GB2312" w:eastAsia="仿宋_GB2312" w:cs="Times New Roman"/>
          <w:color w:val="auto"/>
          <w:kern w:val="0"/>
          <w:sz w:val="32"/>
          <w:szCs w:val="32"/>
          <w:highlight w:val="none"/>
        </w:rPr>
        <w:t>金融市场部配合做好流动性风险的日常管理，提高融资来源的多元化和稳定程度。</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Times New Roman"/>
          <w:color w:val="auto"/>
          <w:kern w:val="0"/>
          <w:sz w:val="32"/>
          <w:szCs w:val="32"/>
          <w:highlight w:val="none"/>
          <w:lang w:eastAsia="zh-CN"/>
        </w:rPr>
      </w:pPr>
      <w:r>
        <w:rPr>
          <w:rFonts w:hint="eastAsia" w:ascii="仿宋_GB2312" w:hAnsi="仿宋_GB2312" w:eastAsia="仿宋_GB2312" w:cs="Times New Roman"/>
          <w:color w:val="auto"/>
          <w:kern w:val="0"/>
          <w:sz w:val="32"/>
          <w:szCs w:val="32"/>
          <w:highlight w:val="none"/>
        </w:rPr>
        <w:t>加强流动性风险管理。不断优化资产负债期限结构，协调平衡好安全性、流动性和盈利性关系。强化指标监测与管理，密切关注因监管评级、信用评级变化和负面舆情风险产生的流动性压力。加强日间流动性管理，构建多层级流动性储备，保证备付的稳定性。</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Times New Roman"/>
          <w:color w:val="auto"/>
          <w:kern w:val="0"/>
          <w:sz w:val="32"/>
          <w:szCs w:val="32"/>
          <w:highlight w:val="none"/>
          <w:lang w:val="en-US" w:eastAsia="zh-CN"/>
        </w:rPr>
      </w:pPr>
      <w:r>
        <w:rPr>
          <w:rFonts w:hint="eastAsia" w:ascii="仿宋_GB2312" w:hAnsi="仿宋_GB2312" w:eastAsia="仿宋_GB2312" w:cs="Times New Roman"/>
          <w:color w:val="auto"/>
          <w:kern w:val="0"/>
          <w:sz w:val="32"/>
          <w:szCs w:val="32"/>
          <w:highlight w:val="none"/>
          <w:lang w:val="en-US" w:eastAsia="zh-CN"/>
        </w:rPr>
        <w:t xml:space="preserve">为避免资产和负债过度集中引发的流动性风险，本行在管理过程中将逐步建立资产、负债的限额管理制度，限额管理包括但不限于品种、币种、交易对手、市场、行业、期限、地域等。在限额管理过程中，结合资产负债的剩余期限、担保方式、关联交易、交易对手的历史情况等确定相应限额的大小。  </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Times New Roman"/>
          <w:color w:val="auto"/>
          <w:kern w:val="0"/>
          <w:sz w:val="32"/>
          <w:szCs w:val="32"/>
          <w:highlight w:val="none"/>
          <w:lang w:val="en-US" w:eastAsia="zh-CN"/>
        </w:rPr>
      </w:pPr>
      <w:r>
        <w:rPr>
          <w:rFonts w:hint="eastAsia" w:ascii="仿宋_GB2312" w:hAnsi="仿宋_GB2312" w:eastAsia="仿宋_GB2312" w:cs="Times New Roman"/>
          <w:color w:val="auto"/>
          <w:kern w:val="0"/>
          <w:sz w:val="32"/>
          <w:szCs w:val="32"/>
          <w:highlight w:val="none"/>
          <w:lang w:val="en-US" w:eastAsia="zh-CN"/>
        </w:rPr>
        <w:t>流动性风险管理过程中按照现金净流入的期限分别进行管理，在短期现金流管理过程中，重视备付金管理。相关部门及机构采取有效措施，每日提前预测大额头寸的净流入或流出，合理调度资金、满足日常的支付结算需要，防止出现头寸红字。</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Times New Roman"/>
          <w:color w:val="auto"/>
          <w:kern w:val="0"/>
          <w:sz w:val="32"/>
          <w:szCs w:val="32"/>
          <w:highlight w:val="none"/>
        </w:rPr>
      </w:pPr>
      <w:r>
        <w:rPr>
          <w:rFonts w:hint="eastAsia" w:ascii="仿宋_GB2312" w:hAnsi="仿宋_GB2312" w:eastAsia="仿宋_GB2312" w:cs="Times New Roman"/>
          <w:color w:val="auto"/>
          <w:kern w:val="0"/>
          <w:sz w:val="32"/>
          <w:szCs w:val="32"/>
          <w:highlight w:val="none"/>
        </w:rPr>
        <w:t>流动性日常管理过程中采用指标管理，采用但不限于以下指标：存贷比、超额备付率、中长期贷款比重、核心负债比例、流动性缺口率、流动性比例、大额负债依存度、净拆借资金比率、优质流动性资产充足率、流行性匹配率。</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Times New Roman"/>
          <w:color w:val="auto"/>
          <w:kern w:val="0"/>
          <w:sz w:val="32"/>
          <w:szCs w:val="32"/>
          <w:highlight w:val="none"/>
          <w:lang w:val="en-US" w:eastAsia="zh-CN"/>
        </w:rPr>
      </w:pPr>
      <w:r>
        <w:rPr>
          <w:rFonts w:hint="eastAsia" w:ascii="仿宋_GB2312" w:hAnsi="仿宋_GB2312" w:eastAsia="仿宋_GB2312" w:cs="Times New Roman"/>
          <w:color w:val="auto"/>
          <w:kern w:val="0"/>
          <w:sz w:val="32"/>
          <w:szCs w:val="32"/>
          <w:highlight w:val="none"/>
          <w:lang w:val="en-US" w:eastAsia="zh-CN"/>
        </w:rPr>
        <w:t>本行审慎评估市场风险、信用风险、操作风险、声誉风险等对资产负债业务流动性的影响，密切关注其他风险转化为流动性风险的可能。</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Times New Roman"/>
          <w:color w:val="auto"/>
          <w:kern w:val="0"/>
          <w:sz w:val="32"/>
          <w:szCs w:val="32"/>
          <w:highlight w:val="none"/>
        </w:rPr>
      </w:pPr>
      <w:r>
        <w:rPr>
          <w:rFonts w:hint="eastAsia" w:ascii="仿宋_GB2312" w:hAnsi="仿宋_GB2312" w:eastAsia="仿宋_GB2312" w:cs="Times New Roman"/>
          <w:color w:val="auto"/>
          <w:kern w:val="0"/>
          <w:sz w:val="32"/>
          <w:szCs w:val="32"/>
          <w:highlight w:val="none"/>
          <w:lang w:val="en-US" w:eastAsia="zh-CN"/>
        </w:rPr>
        <w:t xml:space="preserve"> </w:t>
      </w:r>
      <w:r>
        <w:rPr>
          <w:rFonts w:hint="eastAsia" w:ascii="仿宋_GB2312" w:hAnsi="仿宋_GB2312" w:eastAsia="仿宋_GB2312" w:cs="Times New Roman"/>
          <w:color w:val="auto"/>
          <w:kern w:val="0"/>
          <w:sz w:val="32"/>
          <w:szCs w:val="32"/>
          <w:highlight w:val="none"/>
          <w:lang w:eastAsia="zh-CN"/>
        </w:rPr>
        <w:t>本行</w:t>
      </w:r>
      <w:r>
        <w:rPr>
          <w:rFonts w:hint="eastAsia" w:ascii="仿宋_GB2312" w:hAnsi="仿宋_GB2312" w:eastAsia="仿宋_GB2312" w:cs="Times New Roman"/>
          <w:color w:val="auto"/>
          <w:kern w:val="0"/>
          <w:sz w:val="32"/>
          <w:szCs w:val="32"/>
          <w:highlight w:val="none"/>
          <w:lang w:val="en-US" w:eastAsia="zh-CN"/>
        </w:rPr>
        <w:t>按</w:t>
      </w:r>
      <w:r>
        <w:rPr>
          <w:rFonts w:hint="default" w:ascii="仿宋_GB2312" w:hAnsi="仿宋_GB2312" w:eastAsia="仿宋_GB2312" w:cs="Times New Roman"/>
          <w:color w:val="auto"/>
          <w:kern w:val="0"/>
          <w:sz w:val="32"/>
          <w:szCs w:val="32"/>
          <w:highlight w:val="none"/>
          <w:lang w:val="en-US" w:eastAsia="zh-CN"/>
        </w:rPr>
        <w:t>监管部门及上级管理部门的要求按</w:t>
      </w:r>
      <w:r>
        <w:rPr>
          <w:rFonts w:hint="eastAsia" w:ascii="仿宋_GB2312" w:hAnsi="仿宋_GB2312" w:eastAsia="仿宋_GB2312" w:cs="Times New Roman"/>
          <w:color w:val="auto"/>
          <w:kern w:val="0"/>
          <w:sz w:val="32"/>
          <w:szCs w:val="32"/>
          <w:highlight w:val="none"/>
          <w:lang w:val="en-US" w:eastAsia="zh-CN"/>
        </w:rPr>
        <w:t>季组织开展流动性压力测试，压力测试参数依照监管部门相</w:t>
      </w:r>
      <w:r>
        <w:rPr>
          <w:rFonts w:hint="eastAsia" w:ascii="仿宋_GB2312" w:hAnsi="仿宋_GB2312" w:eastAsia="仿宋_GB2312" w:cs="Times New Roman"/>
          <w:color w:val="auto"/>
          <w:kern w:val="0"/>
          <w:sz w:val="32"/>
          <w:szCs w:val="32"/>
          <w:highlight w:val="none"/>
        </w:rPr>
        <w:t>关要求，以非现场监管统计报表G21流动性期限缺口统计表数据为测试基础，测试不同压力情景下未来30日内现金流缺口和最短生存期情况。压力情景设置分为轻度、中度和重度三种情形，从资产负债表项目看，常见的风险因素包括：来自银行间市场的同业批发性融资来源急剧减少、各类存款资金（零售存款、对公存款、同业存款）大幅流失、优质流动性资金（如国债、政策性金融债等）价格下跌或融资折扣率上升。</w:t>
      </w:r>
      <w:r>
        <w:rPr>
          <w:rFonts w:hint="eastAsia" w:ascii="仿宋_GB2312" w:hAnsi="仿宋_GB2312" w:eastAsia="仿宋_GB2312" w:cs="Times New Roman"/>
          <w:color w:val="auto"/>
          <w:kern w:val="0"/>
          <w:sz w:val="32"/>
          <w:szCs w:val="32"/>
          <w:highlight w:val="none"/>
          <w:lang w:eastAsia="zh-CN"/>
        </w:rPr>
        <w:t>本行</w:t>
      </w:r>
      <w:r>
        <w:rPr>
          <w:rFonts w:hint="eastAsia" w:ascii="仿宋_GB2312" w:hAnsi="仿宋_GB2312" w:eastAsia="仿宋_GB2312" w:cs="Times New Roman"/>
          <w:color w:val="auto"/>
          <w:kern w:val="0"/>
          <w:sz w:val="32"/>
          <w:szCs w:val="32"/>
          <w:highlight w:val="none"/>
        </w:rPr>
        <w:t>充分考虑压力测试结果，制定有效的流动性风险应急计划，并对应急计划进行测试和评估。组织开展应急演练，测试资金调度效率，充分检验应对突发状况的处置能力和响应效率。</w:t>
      </w:r>
    </w:p>
    <w:p>
      <w:pPr>
        <w:keepNext w:val="0"/>
        <w:keepLines w:val="0"/>
        <w:pageBreakBefore w:val="0"/>
        <w:widowControl w:val="0"/>
        <w:kinsoku/>
        <w:wordWrap/>
        <w:overflowPunct w:val="0"/>
        <w:topLinePunct/>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Times New Roman"/>
          <w:color w:val="auto"/>
          <w:kern w:val="0"/>
          <w:sz w:val="32"/>
          <w:szCs w:val="32"/>
          <w:highlight w:val="none"/>
        </w:rPr>
      </w:pPr>
      <w:r>
        <w:rPr>
          <w:rFonts w:hint="eastAsia" w:ascii="仿宋_GB2312" w:hAnsi="仿宋_GB2312" w:eastAsia="仿宋_GB2312" w:cs="Times New Roman"/>
          <w:color w:val="auto"/>
          <w:kern w:val="0"/>
          <w:sz w:val="32"/>
          <w:szCs w:val="32"/>
          <w:highlight w:val="none"/>
        </w:rPr>
        <w:t>本行存款客户基础广泛而坚实，活期存款沉淀率较高，且存款平稳增长，资金来源稳定，流动性保持稳定态势</w:t>
      </w:r>
      <w:r>
        <w:rPr>
          <w:rFonts w:hint="eastAsia" w:ascii="仿宋_GB2312" w:hAnsi="仿宋_GB2312" w:eastAsia="仿宋_GB2312" w:cs="Times New Roman"/>
          <w:color w:val="auto"/>
          <w:kern w:val="0"/>
          <w:sz w:val="32"/>
          <w:szCs w:val="32"/>
          <w:highlight w:val="none"/>
          <w:lang w:eastAsia="zh-CN"/>
        </w:rPr>
        <w:t>。</w:t>
      </w:r>
    </w:p>
    <w:p>
      <w:pPr>
        <w:pStyle w:val="14"/>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hint="eastAsia" w:ascii="楷体_GB2312" w:hAnsi="仿宋_GB2312" w:eastAsia="楷体_GB2312"/>
          <w:color w:val="auto"/>
          <w:kern w:val="0"/>
          <w:sz w:val="32"/>
          <w:szCs w:val="32"/>
          <w:highlight w:val="none"/>
          <w:lang w:eastAsia="zh-CN"/>
        </w:rPr>
      </w:pPr>
      <w:r>
        <w:rPr>
          <w:rFonts w:hint="eastAsia" w:ascii="楷体_GB2312" w:hAnsi="仿宋_GB2312" w:eastAsia="楷体_GB2312"/>
          <w:color w:val="auto"/>
          <w:kern w:val="0"/>
          <w:sz w:val="32"/>
          <w:szCs w:val="32"/>
          <w:highlight w:val="none"/>
        </w:rPr>
        <w:t>(四)操作风险管理</w:t>
      </w:r>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Times New Roman"/>
          <w:color w:val="auto"/>
          <w:kern w:val="0"/>
          <w:sz w:val="32"/>
          <w:szCs w:val="32"/>
          <w:highlight w:val="none"/>
        </w:rPr>
      </w:pPr>
      <w:r>
        <w:rPr>
          <w:rFonts w:hint="eastAsia" w:ascii="仿宋_GB2312" w:hAnsi="仿宋_GB2312" w:eastAsia="仿宋_GB2312" w:cs="Times New Roman"/>
          <w:color w:val="auto"/>
          <w:kern w:val="0"/>
          <w:sz w:val="32"/>
          <w:szCs w:val="32"/>
          <w:highlight w:val="none"/>
        </w:rPr>
        <w:t>操作风险是指由于内部程序、员工、信息科技系统存在问题以及外部事件造成损失的风险，包括法律风险，但不包括战略风险和声誉风险。</w:t>
      </w:r>
    </w:p>
    <w:p>
      <w:pPr>
        <w:pStyle w:val="14"/>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hint="eastAsia" w:ascii="仿宋_GB2312" w:hAnsi="仿宋_GB2312" w:eastAsia="仿宋_GB2312" w:cs="Times New Roman"/>
          <w:color w:val="auto"/>
          <w:kern w:val="0"/>
          <w:sz w:val="32"/>
          <w:szCs w:val="32"/>
          <w:highlight w:val="none"/>
        </w:rPr>
      </w:pPr>
      <w:r>
        <w:rPr>
          <w:rFonts w:hint="eastAsia" w:ascii="仿宋_GB2312" w:hAnsi="仿宋_GB2312" w:eastAsia="仿宋_GB2312" w:cs="Times New Roman"/>
          <w:color w:val="auto"/>
          <w:kern w:val="0"/>
          <w:sz w:val="32"/>
          <w:szCs w:val="32"/>
          <w:highlight w:val="none"/>
        </w:rPr>
        <w:t>202</w:t>
      </w:r>
      <w:r>
        <w:rPr>
          <w:rFonts w:hint="eastAsia" w:ascii="仿宋_GB2312" w:hAnsi="仿宋_GB2312" w:eastAsia="仿宋_GB2312" w:cs="Times New Roman"/>
          <w:color w:val="auto"/>
          <w:kern w:val="0"/>
          <w:sz w:val="32"/>
          <w:szCs w:val="32"/>
          <w:highlight w:val="none"/>
          <w:lang w:val="en-US" w:eastAsia="zh-CN"/>
        </w:rPr>
        <w:t>6</w:t>
      </w:r>
      <w:r>
        <w:rPr>
          <w:rFonts w:hint="eastAsia" w:ascii="仿宋_GB2312" w:hAnsi="仿宋_GB2312" w:eastAsia="仿宋_GB2312" w:cs="Times New Roman"/>
          <w:color w:val="auto"/>
          <w:kern w:val="0"/>
          <w:sz w:val="32"/>
          <w:szCs w:val="32"/>
          <w:highlight w:val="none"/>
        </w:rPr>
        <w:t>年</w:t>
      </w:r>
      <w:r>
        <w:rPr>
          <w:rFonts w:hint="eastAsia" w:ascii="仿宋_GB2312" w:hAnsi="仿宋_GB2312" w:eastAsia="仿宋_GB2312" w:cs="Times New Roman"/>
          <w:color w:val="auto"/>
          <w:kern w:val="0"/>
          <w:sz w:val="32"/>
          <w:szCs w:val="32"/>
          <w:highlight w:val="none"/>
          <w:lang w:eastAsia="zh-CN"/>
        </w:rPr>
        <w:t>上半年</w:t>
      </w:r>
      <w:r>
        <w:rPr>
          <w:rFonts w:hint="eastAsia" w:ascii="仿宋_GB2312" w:hAnsi="仿宋_GB2312" w:eastAsia="仿宋_GB2312" w:cs="Times New Roman"/>
          <w:color w:val="auto"/>
          <w:kern w:val="0"/>
          <w:sz w:val="32"/>
          <w:szCs w:val="32"/>
          <w:highlight w:val="none"/>
        </w:rPr>
        <w:t>，</w:t>
      </w:r>
      <w:r>
        <w:rPr>
          <w:rFonts w:hint="eastAsia" w:ascii="仿宋_GB2312" w:hAnsi="仿宋_GB2312" w:eastAsia="仿宋_GB2312" w:cs="Times New Roman"/>
          <w:color w:val="auto"/>
          <w:kern w:val="0"/>
          <w:sz w:val="32"/>
          <w:szCs w:val="32"/>
          <w:highlight w:val="none"/>
          <w:lang w:eastAsia="zh-CN"/>
        </w:rPr>
        <w:t>我</w:t>
      </w:r>
      <w:r>
        <w:rPr>
          <w:rFonts w:hint="eastAsia" w:ascii="仿宋_GB2312" w:hAnsi="仿宋_GB2312" w:eastAsia="仿宋_GB2312" w:cs="Times New Roman"/>
          <w:color w:val="auto"/>
          <w:kern w:val="0"/>
          <w:sz w:val="32"/>
          <w:szCs w:val="32"/>
          <w:highlight w:val="none"/>
        </w:rPr>
        <w:t>行</w:t>
      </w:r>
      <w:r>
        <w:rPr>
          <w:rFonts w:hint="eastAsia" w:ascii="仿宋_GB2312" w:hAnsi="仿宋_GB2312" w:eastAsia="仿宋_GB2312" w:cs="Times New Roman"/>
          <w:color w:val="auto"/>
          <w:kern w:val="0"/>
          <w:sz w:val="32"/>
          <w:szCs w:val="32"/>
          <w:highlight w:val="none"/>
          <w:lang w:eastAsia="zh-CN"/>
        </w:rPr>
        <w:t>围绕“稳健经营、防控优先”的风险管理理念，持续推进操作风险管理体系建设。通过</w:t>
      </w:r>
      <w:r>
        <w:rPr>
          <w:rFonts w:hint="eastAsia" w:ascii="仿宋_GB2312" w:hAnsi="仿宋_GB2312" w:eastAsia="仿宋_GB2312" w:cs="Times New Roman"/>
          <w:color w:val="auto"/>
          <w:kern w:val="0"/>
          <w:sz w:val="32"/>
          <w:szCs w:val="32"/>
          <w:highlight w:val="none"/>
        </w:rPr>
        <w:t>强化重点领域和关键</w:t>
      </w:r>
      <w:r>
        <w:rPr>
          <w:rFonts w:hint="eastAsia" w:ascii="仿宋_GB2312" w:hAnsi="仿宋_GB2312" w:eastAsia="仿宋_GB2312" w:cs="Times New Roman"/>
          <w:color w:val="auto"/>
          <w:kern w:val="0"/>
          <w:sz w:val="32"/>
          <w:szCs w:val="32"/>
          <w:highlight w:val="none"/>
          <w:lang w:eastAsia="zh-CN"/>
        </w:rPr>
        <w:t>人员</w:t>
      </w:r>
      <w:r>
        <w:rPr>
          <w:rFonts w:hint="eastAsia" w:ascii="仿宋_GB2312" w:hAnsi="仿宋_GB2312" w:eastAsia="仿宋_GB2312" w:cs="Times New Roman"/>
          <w:color w:val="auto"/>
          <w:kern w:val="0"/>
          <w:sz w:val="32"/>
          <w:szCs w:val="32"/>
          <w:highlight w:val="none"/>
        </w:rPr>
        <w:t>操作风险管控</w:t>
      </w:r>
      <w:r>
        <w:rPr>
          <w:rFonts w:hint="eastAsia" w:ascii="仿宋_GB2312" w:hAnsi="仿宋_GB2312" w:eastAsia="仿宋_GB2312" w:cs="Times New Roman"/>
          <w:color w:val="auto"/>
          <w:kern w:val="0"/>
          <w:sz w:val="32"/>
          <w:szCs w:val="32"/>
          <w:highlight w:val="none"/>
          <w:lang w:eastAsia="zh-CN"/>
        </w:rPr>
        <w:t>、</w:t>
      </w:r>
      <w:r>
        <w:rPr>
          <w:rFonts w:hint="eastAsia" w:ascii="仿宋_GB2312" w:hAnsi="仿宋_GB2312" w:eastAsia="仿宋_GB2312" w:cs="Times New Roman"/>
          <w:color w:val="auto"/>
          <w:kern w:val="0"/>
          <w:sz w:val="32"/>
          <w:szCs w:val="32"/>
          <w:highlight w:val="none"/>
        </w:rPr>
        <w:t>组织开展员工</w:t>
      </w:r>
      <w:r>
        <w:rPr>
          <w:rFonts w:hint="eastAsia" w:ascii="仿宋_GB2312" w:hAnsi="仿宋_GB2312" w:eastAsia="仿宋_GB2312" w:cs="Times New Roman"/>
          <w:color w:val="auto"/>
          <w:kern w:val="0"/>
          <w:sz w:val="32"/>
          <w:szCs w:val="32"/>
          <w:highlight w:val="none"/>
          <w:lang w:eastAsia="zh-CN"/>
        </w:rPr>
        <w:t>疑点数据核查、</w:t>
      </w:r>
      <w:r>
        <w:rPr>
          <w:rFonts w:hint="eastAsia" w:ascii="仿宋_GB2312" w:hAnsi="仿宋_GB2312" w:eastAsia="仿宋_GB2312" w:cs="Times New Roman"/>
          <w:color w:val="auto"/>
          <w:kern w:val="0"/>
          <w:sz w:val="32"/>
          <w:szCs w:val="32"/>
          <w:highlight w:val="none"/>
        </w:rPr>
        <w:t>加强合规文化建设</w:t>
      </w:r>
      <w:r>
        <w:rPr>
          <w:rFonts w:hint="eastAsia" w:ascii="仿宋_GB2312" w:hAnsi="仿宋_GB2312" w:eastAsia="仿宋_GB2312" w:cs="Times New Roman"/>
          <w:color w:val="auto"/>
          <w:kern w:val="0"/>
          <w:sz w:val="32"/>
          <w:szCs w:val="32"/>
          <w:highlight w:val="none"/>
          <w:lang w:eastAsia="zh-CN"/>
        </w:rPr>
        <w:t>等工作，切实</w:t>
      </w:r>
      <w:r>
        <w:rPr>
          <w:rFonts w:hint="eastAsia" w:ascii="仿宋_GB2312" w:hAnsi="仿宋_GB2312" w:eastAsia="仿宋_GB2312" w:cs="Times New Roman"/>
          <w:color w:val="auto"/>
          <w:kern w:val="0"/>
          <w:sz w:val="32"/>
          <w:szCs w:val="32"/>
          <w:highlight w:val="none"/>
        </w:rPr>
        <w:t>保障各项业务稳健</w:t>
      </w:r>
      <w:r>
        <w:rPr>
          <w:rFonts w:hint="eastAsia" w:ascii="仿宋_GB2312" w:hAnsi="仿宋_GB2312" w:eastAsia="仿宋_GB2312" w:cs="Times New Roman"/>
          <w:color w:val="auto"/>
          <w:kern w:val="0"/>
          <w:sz w:val="32"/>
          <w:szCs w:val="32"/>
          <w:highlight w:val="none"/>
          <w:lang w:eastAsia="zh-CN"/>
        </w:rPr>
        <w:t>运行</w:t>
      </w:r>
      <w:r>
        <w:rPr>
          <w:rFonts w:hint="eastAsia" w:ascii="仿宋_GB2312" w:hAnsi="仿宋_GB2312" w:eastAsia="仿宋_GB2312" w:cs="Times New Roman"/>
          <w:color w:val="auto"/>
          <w:kern w:val="0"/>
          <w:sz w:val="32"/>
          <w:szCs w:val="32"/>
          <w:highlight w:val="none"/>
        </w:rPr>
        <w:t>。</w:t>
      </w:r>
    </w:p>
    <w:p>
      <w:pPr>
        <w:pStyle w:val="14"/>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hint="default" w:ascii="仿宋_GB2312" w:hAnsi="仿宋_GB2312" w:eastAsia="仿宋_GB2312" w:cs="Times New Roman"/>
          <w:color w:val="auto"/>
          <w:kern w:val="0"/>
          <w:sz w:val="32"/>
          <w:szCs w:val="32"/>
          <w:highlight w:val="none"/>
          <w:lang w:val="en-US" w:eastAsia="zh-CN"/>
        </w:rPr>
      </w:pPr>
      <w:r>
        <w:rPr>
          <w:rFonts w:hint="eastAsia" w:ascii="仿宋_GB2312" w:hAnsi="仿宋_GB2312" w:eastAsia="仿宋_GB2312" w:cs="Times New Roman"/>
          <w:color w:val="auto"/>
          <w:kern w:val="0"/>
          <w:sz w:val="32"/>
          <w:szCs w:val="32"/>
          <w:highlight w:val="none"/>
        </w:rPr>
        <w:t>1.扎实开展员工</w:t>
      </w:r>
      <w:r>
        <w:rPr>
          <w:rFonts w:hint="eastAsia" w:ascii="仿宋_GB2312" w:hAnsi="仿宋_GB2312" w:eastAsia="仿宋_GB2312" w:cs="Times New Roman"/>
          <w:color w:val="auto"/>
          <w:kern w:val="0"/>
          <w:sz w:val="32"/>
          <w:szCs w:val="32"/>
          <w:highlight w:val="none"/>
          <w:lang w:eastAsia="zh-CN"/>
        </w:rPr>
        <w:t>疑点数据核查</w:t>
      </w:r>
      <w:r>
        <w:rPr>
          <w:rFonts w:hint="eastAsia" w:ascii="仿宋_GB2312" w:hAnsi="仿宋_GB2312" w:eastAsia="仿宋_GB2312" w:cs="Times New Roman"/>
          <w:color w:val="auto"/>
          <w:kern w:val="0"/>
          <w:sz w:val="32"/>
          <w:szCs w:val="32"/>
          <w:highlight w:val="none"/>
        </w:rPr>
        <w:t>。</w:t>
      </w:r>
      <w:r>
        <w:rPr>
          <w:rFonts w:hint="eastAsia" w:ascii="仿宋_GB2312" w:hAnsi="仿宋_GB2312" w:eastAsia="仿宋_GB2312" w:cs="Times New Roman"/>
          <w:color w:val="auto"/>
          <w:kern w:val="0"/>
          <w:sz w:val="32"/>
          <w:szCs w:val="32"/>
          <w:highlight w:val="none"/>
          <w:lang w:val="en-US" w:eastAsia="zh-CN"/>
        </w:rPr>
        <w:t>依托省版合规管理平台“监测预警”模块对员工异常行为进行实时监测，上半年共核查</w:t>
      </w:r>
      <w:r>
        <w:rPr>
          <w:rFonts w:hint="eastAsia" w:ascii="仿宋_GB2312" w:hAnsi="仿宋_GB2312" w:eastAsia="仿宋_GB2312" w:cs="Times New Roman"/>
          <w:color w:val="auto"/>
          <w:kern w:val="0"/>
          <w:sz w:val="32"/>
          <w:szCs w:val="32"/>
          <w:highlight w:val="none"/>
          <w:lang w:eastAsia="zh-CN"/>
        </w:rPr>
        <w:t>员工行为类</w:t>
      </w:r>
      <w:r>
        <w:rPr>
          <w:rFonts w:hint="eastAsia" w:ascii="仿宋_GB2312" w:hAnsi="仿宋_GB2312" w:eastAsia="仿宋_GB2312" w:cs="Times New Roman"/>
          <w:color w:val="auto"/>
          <w:kern w:val="0"/>
          <w:sz w:val="32"/>
          <w:szCs w:val="32"/>
          <w:highlight w:val="none"/>
          <w:lang w:val="en-US" w:eastAsia="zh-CN"/>
        </w:rPr>
        <w:t>数据999条，涉及20个预警模型。经过核查，存在问题疑点数据31条，涉及问题5个，已根据我行《工作人员违规行为处理办法》《员工违规行为记分管理办法》对相关责任人进行问责。</w:t>
      </w:r>
    </w:p>
    <w:p>
      <w:pPr>
        <w:pStyle w:val="14"/>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hint="eastAsia" w:ascii="仿宋_GB2312" w:hAnsi="仿宋_GB2312" w:eastAsia="仿宋_GB2312" w:cs="Times New Roman"/>
          <w:color w:val="auto"/>
          <w:kern w:val="0"/>
          <w:sz w:val="32"/>
          <w:szCs w:val="32"/>
          <w:highlight w:val="none"/>
        </w:rPr>
      </w:pPr>
      <w:r>
        <w:rPr>
          <w:rFonts w:hint="eastAsia" w:ascii="仿宋_GB2312" w:hAnsi="仿宋_GB2312" w:eastAsia="仿宋_GB2312" w:cs="Times New Roman"/>
          <w:color w:val="auto"/>
          <w:kern w:val="0"/>
          <w:sz w:val="32"/>
          <w:szCs w:val="32"/>
          <w:highlight w:val="none"/>
        </w:rPr>
        <w:t>2.常态</w:t>
      </w:r>
      <w:r>
        <w:rPr>
          <w:rFonts w:hint="eastAsia" w:ascii="仿宋_GB2312" w:hAnsi="仿宋_GB2312" w:eastAsia="仿宋_GB2312" w:cs="Times New Roman"/>
          <w:color w:val="auto"/>
          <w:kern w:val="0"/>
          <w:sz w:val="32"/>
          <w:szCs w:val="32"/>
          <w:highlight w:val="none"/>
          <w:lang w:eastAsia="zh-CN"/>
        </w:rPr>
        <w:t>化</w:t>
      </w:r>
      <w:r>
        <w:rPr>
          <w:rFonts w:hint="eastAsia" w:ascii="仿宋_GB2312" w:hAnsi="仿宋_GB2312" w:eastAsia="仿宋_GB2312" w:cs="Times New Roman"/>
          <w:color w:val="auto"/>
          <w:kern w:val="0"/>
          <w:sz w:val="32"/>
          <w:szCs w:val="32"/>
          <w:highlight w:val="none"/>
        </w:rPr>
        <w:t>开展</w:t>
      </w:r>
      <w:r>
        <w:rPr>
          <w:rFonts w:hint="eastAsia" w:ascii="仿宋_GB2312" w:hAnsi="仿宋_GB2312" w:eastAsia="仿宋_GB2312" w:cs="Times New Roman"/>
          <w:color w:val="auto"/>
          <w:kern w:val="0"/>
          <w:sz w:val="32"/>
          <w:szCs w:val="32"/>
          <w:highlight w:val="none"/>
          <w:lang w:eastAsia="zh-CN"/>
        </w:rPr>
        <w:t>案件风险排查</w:t>
      </w:r>
      <w:r>
        <w:rPr>
          <w:rFonts w:hint="eastAsia" w:ascii="仿宋_GB2312" w:hAnsi="仿宋_GB2312" w:eastAsia="仿宋_GB2312" w:cs="Times New Roman"/>
          <w:color w:val="auto"/>
          <w:kern w:val="0"/>
          <w:sz w:val="32"/>
          <w:szCs w:val="32"/>
          <w:highlight w:val="none"/>
        </w:rPr>
        <w:t>。</w:t>
      </w:r>
      <w:r>
        <w:rPr>
          <w:rFonts w:hint="eastAsia" w:ascii="仿宋_GB2312" w:hAnsi="仿宋_GB2312" w:eastAsia="仿宋_GB2312" w:cs="仿宋_GB2312"/>
          <w:color w:val="auto"/>
          <w:kern w:val="0"/>
          <w:sz w:val="32"/>
          <w:szCs w:val="32"/>
          <w:highlight w:val="none"/>
          <w:lang w:val="en-US" w:eastAsia="zh-CN"/>
        </w:rPr>
        <w:t>为全面落实监管部门及省联合银行案件风险防控工作要求，进一步构建完备的合规检查体系，我行制定《东海农商银行2026年案件风险排查工作方案》，共立项案件风险排查项目29个。2026年上半年，排查发现在业务经营管理方面存在4个问题，问题笔数9笔，问题户数7户，问题涉及金额35万元，其中信贷业务类问题3个，其他类问题1个。目前，相关问题已整改完毕，问题责任人已由条线部门进行问责。</w:t>
      </w:r>
    </w:p>
    <w:p>
      <w:pPr>
        <w:pStyle w:val="14"/>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hint="eastAsia" w:ascii="仿宋_GB2312" w:hAnsi="仿宋_GB2312" w:eastAsia="仿宋_GB2312" w:cs="Times New Roman"/>
          <w:b w:val="0"/>
          <w:bCs w:val="0"/>
          <w:color w:val="auto"/>
          <w:kern w:val="0"/>
          <w:sz w:val="32"/>
          <w:szCs w:val="32"/>
          <w:highlight w:val="none"/>
        </w:rPr>
      </w:pPr>
      <w:r>
        <w:rPr>
          <w:rFonts w:hint="eastAsia" w:ascii="仿宋_GB2312" w:hAnsi="仿宋_GB2312" w:eastAsia="仿宋_GB2312" w:cs="Times New Roman"/>
          <w:color w:val="auto"/>
          <w:kern w:val="0"/>
          <w:sz w:val="32"/>
          <w:szCs w:val="32"/>
          <w:highlight w:val="none"/>
        </w:rPr>
        <w:t>3.</w:t>
      </w:r>
      <w:r>
        <w:rPr>
          <w:rFonts w:hint="eastAsia" w:ascii="仿宋_GB2312" w:hAnsi="仿宋_GB2312" w:eastAsia="仿宋_GB2312" w:cs="Times New Roman"/>
          <w:color w:val="auto"/>
          <w:kern w:val="0"/>
          <w:sz w:val="32"/>
          <w:szCs w:val="32"/>
          <w:highlight w:val="none"/>
          <w:lang w:eastAsia="zh-CN"/>
        </w:rPr>
        <w:t>深入开展合规文化提升活动</w:t>
      </w:r>
      <w:r>
        <w:rPr>
          <w:rFonts w:hint="eastAsia" w:ascii="仿宋_GB2312" w:hAnsi="仿宋_GB2312" w:eastAsia="仿宋_GB2312" w:cs="Times New Roman"/>
          <w:color w:val="auto"/>
          <w:kern w:val="0"/>
          <w:sz w:val="32"/>
          <w:szCs w:val="32"/>
          <w:highlight w:val="none"/>
        </w:rPr>
        <w:t>。</w:t>
      </w:r>
      <w:r>
        <w:rPr>
          <w:rFonts w:hint="eastAsia" w:ascii="仿宋_GB2312" w:hAnsi="仿宋_GB2312" w:eastAsia="仿宋_GB2312" w:cs="Times New Roman"/>
          <w:b w:val="0"/>
          <w:bCs w:val="0"/>
          <w:color w:val="auto"/>
          <w:kern w:val="0"/>
          <w:sz w:val="32"/>
          <w:szCs w:val="32"/>
          <w:highlight w:val="none"/>
          <w:lang w:val="en-US" w:eastAsia="zh-CN"/>
        </w:rPr>
        <w:t>一是举办合规演讲比赛。2026年1月举办“合规创造价值”主题演讲比赛，全行共计18名选手参加了比赛，他们结合岗位实践，用真挚的情感、生动的案例，抒发了对合规的理解、坚守与践行。本次活动使得“合规创造价值”的理念更加深入人心，大大提升了全员合规履职的主动性。二是组织合规考试。2026年上半年组织了1次合规知识库学习和2次合规考试，学习、考试内容包括当前法律合规条线的工作重点、风险提示、先进经验及本行员工行为管理相关制度，以考促学、以考促练，推动合规要求真正入脑入心，从思想源头减少违规操作行为，在全行营造主动合规、自觉守规的良好氛围。三是组织签订合规案防承诺书。2026年上半年，全体在岗员工先后签订了“员工合规案防承诺书”、“合规案防工作个人信息授权书”，进一步压实全员合规履职责任，明确岗位合规底线、纪律红线与案防要求，引导员工自觉规范从业行为、严守规章制度，强化全员知责、明责、守责意识，全面筑牢案件防控和合规经营防线。</w:t>
      </w:r>
    </w:p>
    <w:p>
      <w:pPr>
        <w:pStyle w:val="14"/>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hint="default" w:ascii="楷体_GB2312" w:hAnsi="仿宋_GB2312" w:eastAsia="楷体_GB2312"/>
          <w:color w:val="auto"/>
          <w:kern w:val="0"/>
          <w:sz w:val="32"/>
          <w:szCs w:val="32"/>
          <w:highlight w:val="none"/>
          <w:lang w:val="en-US" w:eastAsia="zh-CN"/>
        </w:rPr>
      </w:pPr>
      <w:r>
        <w:rPr>
          <w:rFonts w:hint="eastAsia" w:ascii="楷体_GB2312" w:hAnsi="仿宋_GB2312" w:eastAsia="楷体_GB2312"/>
          <w:color w:val="auto"/>
          <w:kern w:val="0"/>
          <w:sz w:val="32"/>
          <w:szCs w:val="32"/>
          <w:highlight w:val="none"/>
        </w:rPr>
        <w:t>(五)声誉风险管理</w:t>
      </w:r>
    </w:p>
    <w:p>
      <w:pPr>
        <w:pStyle w:val="14"/>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hint="eastAsia" w:ascii="仿宋_GB2312" w:hAnsi="仿宋_GB2312" w:eastAsia="仿宋_GB2312" w:cs="Times New Roman"/>
          <w:color w:val="auto"/>
          <w:kern w:val="0"/>
          <w:sz w:val="32"/>
          <w:szCs w:val="32"/>
          <w:highlight w:val="none"/>
        </w:rPr>
      </w:pPr>
      <w:bookmarkStart w:id="18" w:name="_Toc10138"/>
      <w:r>
        <w:rPr>
          <w:rFonts w:hint="eastAsia" w:ascii="仿宋_GB2312" w:hAnsi="仿宋_GB2312" w:eastAsia="仿宋_GB2312" w:cs="Times New Roman"/>
          <w:color w:val="auto"/>
          <w:kern w:val="0"/>
          <w:sz w:val="32"/>
          <w:szCs w:val="32"/>
          <w:highlight w:val="none"/>
        </w:rPr>
        <w:t>声誉风险主要指由商业银行经营、管理及其他行为或突发事件导致媒体关注或形成报道，可能对银行形象、声誉、品牌价值造成负面影响或损害的风险。</w:t>
      </w:r>
      <w:bookmarkEnd w:id="18"/>
    </w:p>
    <w:p>
      <w:pPr>
        <w:pStyle w:val="14"/>
        <w:keepNext w:val="0"/>
        <w:keepLines w:val="0"/>
        <w:pageBreakBefore w:val="0"/>
        <w:widowControl w:val="0"/>
        <w:kinsoku/>
        <w:wordWrap/>
        <w:autoSpaceDE/>
        <w:autoSpaceDN/>
        <w:bidi w:val="0"/>
        <w:adjustRightInd/>
        <w:snapToGrid/>
        <w:spacing w:line="560" w:lineRule="exact"/>
        <w:ind w:firstLine="640" w:firstLineChars="200"/>
        <w:jc w:val="both"/>
        <w:textAlignment w:val="auto"/>
        <w:rPr>
          <w:rFonts w:hint="eastAsia" w:ascii="仿宋_GB2312" w:hAnsi="仿宋_GB2312" w:eastAsia="仿宋_GB2312" w:cs="Times New Roman"/>
          <w:color w:val="auto"/>
          <w:kern w:val="0"/>
          <w:sz w:val="32"/>
          <w:szCs w:val="32"/>
          <w:highlight w:val="none"/>
        </w:rPr>
      </w:pPr>
      <w:r>
        <w:rPr>
          <w:rFonts w:hint="eastAsia" w:ascii="仿宋_GB2312" w:hAnsi="仿宋_GB2312" w:eastAsia="仿宋_GB2312" w:cs="Times New Roman"/>
          <w:color w:val="auto"/>
          <w:kern w:val="0"/>
          <w:sz w:val="32"/>
          <w:szCs w:val="32"/>
          <w:highlight w:val="none"/>
        </w:rPr>
        <w:t>20</w:t>
      </w:r>
      <w:r>
        <w:rPr>
          <w:rFonts w:hint="eastAsia" w:ascii="仿宋_GB2312" w:hAnsi="仿宋_GB2312" w:eastAsia="仿宋_GB2312" w:cs="Times New Roman"/>
          <w:color w:val="auto"/>
          <w:kern w:val="0"/>
          <w:sz w:val="32"/>
          <w:szCs w:val="32"/>
          <w:highlight w:val="none"/>
          <w:lang w:val="en-US" w:eastAsia="zh-CN"/>
        </w:rPr>
        <w:t>26年上半年</w:t>
      </w:r>
      <w:r>
        <w:rPr>
          <w:rFonts w:hint="eastAsia" w:ascii="仿宋_GB2312" w:hAnsi="仿宋_GB2312" w:eastAsia="仿宋_GB2312" w:cs="Times New Roman"/>
          <w:color w:val="auto"/>
          <w:kern w:val="0"/>
          <w:sz w:val="32"/>
          <w:szCs w:val="32"/>
          <w:highlight w:val="none"/>
        </w:rPr>
        <w:t>，本行进一步加强声誉风险管理，全力做好相关风险的信息收集、报告、处置及考核等工作，及时处置风险事件。明确办公室作为声誉风险归口管理部门，并指派专人做好舆情监测，每天安排专人收集网络信息并及时查看舆情监测系统，确保早发现、早报告、早处置。进行声誉风险排查，分析声誉风险和声誉事件发生的原因、传导途径、应对方案。加强全员声誉风险培训，推进声誉风险管理文化建设，强化员工声誉风险意识和应对能力。同时，严格规范开展信息披露，主动接受舆论监督，并主动对接主流媒体，积极开展新闻宣传，提升品牌形象。</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outlineLvl w:val="0"/>
        <w:rPr>
          <w:rFonts w:hint="eastAsia" w:ascii="楷体_GB2312" w:hAnsi="仿宋_GB2312" w:eastAsia="楷体_GB2312" w:cs="Times New Roman"/>
          <w:b w:val="0"/>
          <w:bCs w:val="0"/>
          <w:color w:val="auto"/>
          <w:kern w:val="0"/>
          <w:sz w:val="32"/>
          <w:szCs w:val="32"/>
          <w:highlight w:val="yellow"/>
          <w:lang w:val="en-US" w:eastAsia="zh-CN" w:bidi="ar-SA"/>
        </w:rPr>
      </w:pPr>
      <w:r>
        <w:rPr>
          <w:rFonts w:hint="eastAsia" w:ascii="楷体_GB2312" w:hAnsi="仿宋_GB2312" w:eastAsia="楷体_GB2312" w:cs="Times New Roman"/>
          <w:b w:val="0"/>
          <w:bCs w:val="0"/>
          <w:color w:val="auto"/>
          <w:kern w:val="0"/>
          <w:sz w:val="32"/>
          <w:szCs w:val="32"/>
          <w:highlight w:val="none"/>
          <w:lang w:val="en-US" w:eastAsia="zh-CN" w:bidi="ar-SA"/>
        </w:rPr>
        <w:t>（六）</w:t>
      </w:r>
      <w:r>
        <w:rPr>
          <w:rFonts w:hint="eastAsia" w:ascii="楷体_GB2312" w:hAnsi="仿宋_GB2312" w:eastAsia="楷体_GB2312" w:cs="Times New Roman"/>
          <w:b w:val="0"/>
          <w:bCs w:val="0"/>
          <w:color w:val="auto"/>
          <w:kern w:val="0"/>
          <w:sz w:val="32"/>
          <w:szCs w:val="32"/>
          <w:highlight w:val="none"/>
          <w:lang w:val="zh-CN" w:eastAsia="zh-CN" w:bidi="ar-SA"/>
        </w:rPr>
        <w:t>信息科技风险</w:t>
      </w:r>
      <w:r>
        <w:rPr>
          <w:rFonts w:hint="eastAsia" w:ascii="楷体_GB2312" w:hAnsi="仿宋_GB2312" w:eastAsia="楷体_GB2312" w:cs="Times New Roman"/>
          <w:b w:val="0"/>
          <w:bCs w:val="0"/>
          <w:color w:val="auto"/>
          <w:kern w:val="0"/>
          <w:sz w:val="32"/>
          <w:szCs w:val="32"/>
          <w:highlight w:val="none"/>
          <w:lang w:val="en-US" w:eastAsia="zh-CN" w:bidi="ar-SA"/>
        </w:rPr>
        <w:t>管理</w:t>
      </w:r>
    </w:p>
    <w:p>
      <w:pPr>
        <w:pStyle w:val="14"/>
        <w:keepNext w:val="0"/>
        <w:keepLines w:val="0"/>
        <w:pageBreakBefore w:val="0"/>
        <w:widowControl w:val="0"/>
        <w:kinsoku/>
        <w:wordWrap/>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olor w:val="auto"/>
          <w:kern w:val="0"/>
          <w:sz w:val="32"/>
          <w:szCs w:val="32"/>
          <w:highlight w:val="none"/>
          <w:lang w:val="en-US" w:eastAsia="zh-CN"/>
        </w:rPr>
      </w:pPr>
      <w:r>
        <w:rPr>
          <w:rFonts w:hint="eastAsia" w:ascii="仿宋_GB2312" w:hAnsi="仿宋_GB2312" w:eastAsia="仿宋_GB2312"/>
          <w:color w:val="auto"/>
          <w:kern w:val="0"/>
          <w:sz w:val="32"/>
          <w:szCs w:val="32"/>
          <w:highlight w:val="none"/>
          <w:lang w:val="en-US" w:eastAsia="zh-CN"/>
        </w:rPr>
        <w:t>信息科技风险是指信息科技业务在应用过程中，由于自然因素、人为因素、技术漏洞和管理缺陷产生的操作、法律和声誉等风险。</w:t>
      </w:r>
    </w:p>
    <w:p>
      <w:pPr>
        <w:pStyle w:val="14"/>
        <w:keepNext w:val="0"/>
        <w:keepLines w:val="0"/>
        <w:pageBreakBefore w:val="0"/>
        <w:widowControl w:val="0"/>
        <w:kinsoku/>
        <w:wordWrap/>
        <w:autoSpaceDE/>
        <w:autoSpaceDN/>
        <w:bidi w:val="0"/>
        <w:adjustRightInd/>
        <w:snapToGrid/>
        <w:spacing w:line="560" w:lineRule="exact"/>
        <w:ind w:firstLine="640" w:firstLineChars="200"/>
        <w:jc w:val="both"/>
        <w:textAlignment w:val="auto"/>
        <w:outlineLvl w:val="0"/>
        <w:rPr>
          <w:rFonts w:hint="eastAsia" w:ascii="仿宋_GB2312" w:hAnsi="仿宋_GB2312" w:eastAsia="仿宋_GB2312" w:cs="Times New Roman"/>
          <w:b w:val="0"/>
          <w:bCs w:val="0"/>
          <w:color w:val="auto"/>
          <w:kern w:val="0"/>
          <w:sz w:val="32"/>
          <w:szCs w:val="32"/>
          <w:highlight w:val="none"/>
          <w:lang w:val="zh-CN" w:eastAsia="zh-CN" w:bidi="ar-SA"/>
        </w:rPr>
      </w:pPr>
      <w:r>
        <w:rPr>
          <w:rFonts w:hint="eastAsia" w:ascii="仿宋_GB2312" w:hAnsi="仿宋_GB2312" w:eastAsia="仿宋_GB2312" w:cs="Times New Roman"/>
          <w:b w:val="0"/>
          <w:bCs w:val="0"/>
          <w:color w:val="auto"/>
          <w:kern w:val="0"/>
          <w:sz w:val="32"/>
          <w:szCs w:val="32"/>
          <w:highlight w:val="none"/>
          <w:lang w:val="zh-CN" w:eastAsia="zh-CN" w:bidi="ar-SA"/>
        </w:rPr>
        <w:t>上半年以来，本行围绕业务运营保障工作，重点关注网络安全稳定运行，扎实有序提升信息科技风控管理水平。报告期内，本行未发生信息安全事件，未发生信息科技外包重大风险事件。信息科技风险方面的工作措施主要包括：一是落实网络安全常态化管控要求，攻坚高危漏洞专项修复。聚焦操作系统、业务系统、邮件服务薄弱环节，清零整改Linux内核、邮件伪造、业务后台等高风险漏洞327个；夯实等保合规基础。全力配合第三方金盾监测机构，完成骨干网络现场等保测评，逐项落实测评整改要求，加固全行网络边界防护体系。开展安全专项治理，常态化落实互联网应用排查、木马病毒查杀、日志留存合规治理工作，构建全网、全业务、全时序安全防护体系。二是定期开展应急演练工作，按照本行业务连续性工作计划，每月组织开展中心机房市电中断应急演练，每季度开展核心网络切换应急演练，确保遇到突发事件时，各类设备能够稳定运行，各项业务能够正常开展。</w:t>
      </w:r>
    </w:p>
    <w:p>
      <w:pPr>
        <w:pStyle w:val="24"/>
        <w:rPr>
          <w:rFonts w:hint="eastAsia" w:ascii="仿宋_GB2312" w:hAnsi="仿宋_GB2312" w:eastAsia="仿宋_GB2312" w:cs="仿宋_GB2312"/>
          <w:color w:val="auto"/>
          <w:kern w:val="0"/>
          <w:highlight w:val="none"/>
        </w:rPr>
      </w:pPr>
      <w:r>
        <w:rPr>
          <w:rFonts w:hint="eastAsia" w:ascii="仿宋_GB2312" w:hAnsi="仿宋_GB2312" w:eastAsia="仿宋_GB2312" w:cs="仿宋_GB2312"/>
          <w:color w:val="auto"/>
          <w:kern w:val="0"/>
          <w:highlight w:val="none"/>
        </w:rPr>
        <w:t xml:space="preserve">第六章  </w:t>
      </w:r>
      <w:r>
        <w:rPr>
          <w:rFonts w:hint="eastAsia" w:ascii="仿宋_GB2312" w:hAnsi="仿宋_GB2312" w:eastAsia="仿宋_GB2312" w:cs="仿宋_GB2312"/>
          <w:color w:val="auto"/>
          <w:kern w:val="0"/>
          <w:highlight w:val="none"/>
          <w:lang w:val="en-US" w:eastAsia="zh-CN"/>
        </w:rPr>
        <w:t>上半年</w:t>
      </w:r>
      <w:r>
        <w:rPr>
          <w:rFonts w:hint="eastAsia" w:ascii="仿宋_GB2312" w:hAnsi="仿宋_GB2312" w:eastAsia="仿宋_GB2312" w:cs="仿宋_GB2312"/>
          <w:color w:val="auto"/>
          <w:kern w:val="0"/>
          <w:highlight w:val="none"/>
        </w:rPr>
        <w:t>重要事项</w:t>
      </w:r>
      <w:bookmarkEnd w:id="11"/>
      <w:bookmarkEnd w:id="12"/>
      <w:bookmarkEnd w:id="13"/>
    </w:p>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Tahoma"/>
          <w:color w:val="auto"/>
          <w:kern w:val="0"/>
          <w:sz w:val="32"/>
          <w:szCs w:val="32"/>
          <w:highlight w:val="none"/>
          <w:lang w:val="en-US" w:eastAsia="zh-CN"/>
        </w:rPr>
      </w:pPr>
      <w:r>
        <w:rPr>
          <w:rFonts w:hint="eastAsia" w:ascii="黑体" w:hAnsi="黑体" w:eastAsia="黑体"/>
          <w:color w:val="auto"/>
          <w:sz w:val="32"/>
          <w:szCs w:val="32"/>
          <w:highlight w:val="none"/>
          <w:lang w:val="en-US" w:eastAsia="zh-CN"/>
        </w:rPr>
        <w:t>一</w:t>
      </w:r>
      <w:r>
        <w:rPr>
          <w:rFonts w:hint="eastAsia" w:ascii="黑体" w:hAnsi="黑体" w:eastAsia="黑体" w:cs="Tahoma"/>
          <w:color w:val="auto"/>
          <w:kern w:val="0"/>
          <w:sz w:val="32"/>
          <w:szCs w:val="32"/>
          <w:highlight w:val="none"/>
          <w:lang w:val="en-US" w:eastAsia="zh-CN"/>
        </w:rPr>
        <w:t>、前十大法人股东情况</w:t>
      </w:r>
    </w:p>
    <w:tbl>
      <w:tblPr>
        <w:tblStyle w:val="27"/>
        <w:tblW w:w="8277" w:type="dxa"/>
        <w:jc w:val="center"/>
        <w:tblLayout w:type="fixed"/>
        <w:tblCellMar>
          <w:top w:w="0" w:type="dxa"/>
          <w:left w:w="108" w:type="dxa"/>
          <w:bottom w:w="0" w:type="dxa"/>
          <w:right w:w="108" w:type="dxa"/>
        </w:tblCellMar>
      </w:tblPr>
      <w:tblGrid>
        <w:gridCol w:w="522"/>
        <w:gridCol w:w="2464"/>
        <w:gridCol w:w="3229"/>
        <w:gridCol w:w="1085"/>
        <w:gridCol w:w="977"/>
      </w:tblGrid>
      <w:tr>
        <w:tblPrEx>
          <w:tblCellMar>
            <w:top w:w="0" w:type="dxa"/>
            <w:left w:w="108" w:type="dxa"/>
            <w:bottom w:w="0" w:type="dxa"/>
            <w:right w:w="108" w:type="dxa"/>
          </w:tblCellMar>
        </w:tblPrEx>
        <w:trPr>
          <w:trHeight w:val="505" w:hRule="atLeas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序号</w:t>
            </w:r>
          </w:p>
        </w:tc>
        <w:tc>
          <w:tcPr>
            <w:tcW w:w="2464"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股东名称</w:t>
            </w:r>
          </w:p>
        </w:tc>
        <w:tc>
          <w:tcPr>
            <w:tcW w:w="3229"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住        所</w:t>
            </w:r>
          </w:p>
        </w:tc>
        <w:tc>
          <w:tcPr>
            <w:tcW w:w="108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持股</w:t>
            </w:r>
            <w:r>
              <w:rPr>
                <w:rFonts w:hint="eastAsia" w:ascii="仿宋" w:hAnsi="仿宋" w:eastAsia="仿宋" w:cs="仿宋"/>
                <w:color w:val="auto"/>
                <w:sz w:val="18"/>
                <w:szCs w:val="18"/>
                <w:highlight w:val="none"/>
                <w:lang w:val="en-US" w:eastAsia="zh-CN"/>
              </w:rPr>
              <w:t>数</w:t>
            </w:r>
            <w:r>
              <w:rPr>
                <w:rFonts w:hint="eastAsia" w:ascii="仿宋" w:hAnsi="仿宋" w:eastAsia="仿宋" w:cs="仿宋"/>
                <w:color w:val="auto"/>
                <w:sz w:val="18"/>
                <w:szCs w:val="18"/>
                <w:highlight w:val="none"/>
              </w:rPr>
              <w:t>（股）</w:t>
            </w:r>
          </w:p>
        </w:tc>
        <w:tc>
          <w:tcPr>
            <w:tcW w:w="97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持股比例(%)</w:t>
            </w:r>
          </w:p>
        </w:tc>
      </w:tr>
      <w:tr>
        <w:tblPrEx>
          <w:tblCellMar>
            <w:top w:w="0" w:type="dxa"/>
            <w:left w:w="108" w:type="dxa"/>
            <w:bottom w:w="0" w:type="dxa"/>
            <w:right w:w="108" w:type="dxa"/>
          </w:tblCellMar>
        </w:tblPrEx>
        <w:trPr>
          <w:trHeight w:val="510" w:hRule="exact"/>
          <w:jc w:val="center"/>
        </w:trPr>
        <w:tc>
          <w:tcPr>
            <w:tcW w:w="522" w:type="dxa"/>
            <w:tcBorders>
              <w:top w:val="nil"/>
              <w:left w:val="single" w:color="auto" w:sz="4" w:space="0"/>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1</w:t>
            </w:r>
          </w:p>
        </w:tc>
        <w:tc>
          <w:tcPr>
            <w:tcW w:w="246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default" w:ascii="仿宋" w:hAnsi="仿宋" w:eastAsia="仿宋" w:cs="仿宋"/>
                <w:color w:val="auto"/>
                <w:sz w:val="18"/>
                <w:szCs w:val="18"/>
                <w:highlight w:val="none"/>
                <w:lang w:val="en-US" w:eastAsia="zh-CN"/>
              </w:rPr>
              <w:t>无锡农村商业银行股份有限公司</w:t>
            </w:r>
          </w:p>
        </w:tc>
        <w:tc>
          <w:tcPr>
            <w:tcW w:w="3229"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江苏省无锡市锡山区延庆街11号、丹山路66-3、 66-1301、 66-1401号</w:t>
            </w:r>
          </w:p>
        </w:tc>
        <w:tc>
          <w:tcPr>
            <w:tcW w:w="108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86525727</w:t>
            </w:r>
          </w:p>
        </w:tc>
        <w:tc>
          <w:tcPr>
            <w:tcW w:w="977"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19.35</w:t>
            </w:r>
          </w:p>
        </w:tc>
      </w:tr>
      <w:tr>
        <w:tblPrEx>
          <w:tblCellMar>
            <w:top w:w="0" w:type="dxa"/>
            <w:left w:w="108" w:type="dxa"/>
            <w:bottom w:w="0" w:type="dxa"/>
            <w:right w:w="108" w:type="dxa"/>
          </w:tblCellMar>
        </w:tblPrEx>
        <w:trPr>
          <w:trHeight w:val="510" w:hRule="exact"/>
          <w:jc w:val="center"/>
        </w:trPr>
        <w:tc>
          <w:tcPr>
            <w:tcW w:w="522" w:type="dxa"/>
            <w:tcBorders>
              <w:top w:val="nil"/>
              <w:left w:val="single" w:color="auto" w:sz="4" w:space="0"/>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2</w:t>
            </w:r>
          </w:p>
        </w:tc>
        <w:tc>
          <w:tcPr>
            <w:tcW w:w="246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default" w:ascii="仿宋" w:hAnsi="仿宋" w:eastAsia="仿宋" w:cs="仿宋"/>
                <w:color w:val="auto"/>
                <w:sz w:val="18"/>
                <w:szCs w:val="18"/>
                <w:highlight w:val="none"/>
                <w:lang w:val="en-US" w:eastAsia="zh-CN"/>
              </w:rPr>
              <w:t>连云港市晶都建设集团有限公司</w:t>
            </w:r>
          </w:p>
        </w:tc>
        <w:tc>
          <w:tcPr>
            <w:tcW w:w="3229"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东海县牛山镇利民西路6号</w:t>
            </w:r>
          </w:p>
        </w:tc>
        <w:tc>
          <w:tcPr>
            <w:tcW w:w="108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43163827</w:t>
            </w:r>
          </w:p>
        </w:tc>
        <w:tc>
          <w:tcPr>
            <w:tcW w:w="977"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9.66</w:t>
            </w:r>
          </w:p>
        </w:tc>
      </w:tr>
      <w:tr>
        <w:tblPrEx>
          <w:tblCellMar>
            <w:top w:w="0" w:type="dxa"/>
            <w:left w:w="108" w:type="dxa"/>
            <w:bottom w:w="0" w:type="dxa"/>
            <w:right w:w="108" w:type="dxa"/>
          </w:tblCellMar>
        </w:tblPrEx>
        <w:trPr>
          <w:trHeight w:val="510" w:hRule="exact"/>
          <w:jc w:val="center"/>
        </w:trPr>
        <w:tc>
          <w:tcPr>
            <w:tcW w:w="522" w:type="dxa"/>
            <w:tcBorders>
              <w:top w:val="nil"/>
              <w:left w:val="single" w:color="auto" w:sz="4" w:space="0"/>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3</w:t>
            </w:r>
          </w:p>
        </w:tc>
        <w:tc>
          <w:tcPr>
            <w:tcW w:w="246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default" w:ascii="仿宋" w:hAnsi="仿宋" w:eastAsia="仿宋" w:cs="仿宋"/>
                <w:color w:val="auto"/>
                <w:sz w:val="18"/>
                <w:szCs w:val="18"/>
                <w:highlight w:val="none"/>
                <w:lang w:val="en-US" w:eastAsia="zh-CN"/>
              </w:rPr>
              <w:t>江苏农村商业联合银行股份有限公司</w:t>
            </w:r>
          </w:p>
        </w:tc>
        <w:tc>
          <w:tcPr>
            <w:tcW w:w="3229"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南京市江东中路395号</w:t>
            </w:r>
          </w:p>
        </w:tc>
        <w:tc>
          <w:tcPr>
            <w:tcW w:w="108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35115487</w:t>
            </w:r>
          </w:p>
        </w:tc>
        <w:tc>
          <w:tcPr>
            <w:tcW w:w="977"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7.85</w:t>
            </w:r>
          </w:p>
        </w:tc>
      </w:tr>
      <w:tr>
        <w:tblPrEx>
          <w:tblCellMar>
            <w:top w:w="0" w:type="dxa"/>
            <w:left w:w="108" w:type="dxa"/>
            <w:bottom w:w="0" w:type="dxa"/>
            <w:right w:w="108" w:type="dxa"/>
          </w:tblCellMar>
        </w:tblPrEx>
        <w:trPr>
          <w:trHeight w:val="510" w:hRule="exact"/>
          <w:jc w:val="center"/>
        </w:trPr>
        <w:tc>
          <w:tcPr>
            <w:tcW w:w="522" w:type="dxa"/>
            <w:tcBorders>
              <w:top w:val="nil"/>
              <w:left w:val="single" w:color="auto" w:sz="4" w:space="0"/>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4</w:t>
            </w:r>
          </w:p>
        </w:tc>
        <w:tc>
          <w:tcPr>
            <w:tcW w:w="246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default" w:ascii="仿宋" w:hAnsi="仿宋" w:eastAsia="仿宋" w:cs="仿宋"/>
                <w:color w:val="auto"/>
                <w:sz w:val="18"/>
                <w:szCs w:val="18"/>
                <w:highlight w:val="none"/>
                <w:lang w:val="en-US" w:eastAsia="zh-CN"/>
              </w:rPr>
              <w:t>东海县三晟工贸有限公司</w:t>
            </w:r>
          </w:p>
        </w:tc>
        <w:tc>
          <w:tcPr>
            <w:tcW w:w="3229"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东海县安峰镇山庄工业区牛安路西侧</w:t>
            </w:r>
          </w:p>
        </w:tc>
        <w:tc>
          <w:tcPr>
            <w:tcW w:w="108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21307845</w:t>
            </w:r>
          </w:p>
        </w:tc>
        <w:tc>
          <w:tcPr>
            <w:tcW w:w="977"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4.77</w:t>
            </w:r>
          </w:p>
        </w:tc>
      </w:tr>
      <w:tr>
        <w:tblPrEx>
          <w:tblCellMar>
            <w:top w:w="0" w:type="dxa"/>
            <w:left w:w="108" w:type="dxa"/>
            <w:bottom w:w="0" w:type="dxa"/>
            <w:right w:w="108" w:type="dxa"/>
          </w:tblCellMar>
        </w:tblPrEx>
        <w:trPr>
          <w:trHeight w:val="510" w:hRule="exact"/>
          <w:jc w:val="center"/>
        </w:trPr>
        <w:tc>
          <w:tcPr>
            <w:tcW w:w="522" w:type="dxa"/>
            <w:tcBorders>
              <w:top w:val="nil"/>
              <w:left w:val="single" w:color="auto" w:sz="4" w:space="0"/>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5</w:t>
            </w:r>
          </w:p>
        </w:tc>
        <w:tc>
          <w:tcPr>
            <w:tcW w:w="246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lang w:val="en-US" w:eastAsia="zh-CN"/>
              </w:rPr>
              <w:t>江苏东海天工建设有限公司</w:t>
            </w:r>
          </w:p>
        </w:tc>
        <w:tc>
          <w:tcPr>
            <w:tcW w:w="3229"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东海县牛山镇麒麟大道38号</w:t>
            </w:r>
          </w:p>
        </w:tc>
        <w:tc>
          <w:tcPr>
            <w:tcW w:w="108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20023149</w:t>
            </w:r>
          </w:p>
        </w:tc>
        <w:tc>
          <w:tcPr>
            <w:tcW w:w="977"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4.48</w:t>
            </w:r>
          </w:p>
        </w:tc>
      </w:tr>
      <w:tr>
        <w:tblPrEx>
          <w:tblCellMar>
            <w:top w:w="0" w:type="dxa"/>
            <w:left w:w="108" w:type="dxa"/>
            <w:bottom w:w="0" w:type="dxa"/>
            <w:right w:w="108" w:type="dxa"/>
          </w:tblCellMar>
        </w:tblPrEx>
        <w:trPr>
          <w:trHeight w:val="510" w:hRule="exac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6</w:t>
            </w:r>
          </w:p>
        </w:tc>
        <w:tc>
          <w:tcPr>
            <w:tcW w:w="2464" w:type="dxa"/>
            <w:tcBorders>
              <w:top w:val="single" w:color="auto" w:sz="4" w:space="0"/>
              <w:left w:val="single" w:color="auto" w:sz="4" w:space="0"/>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default" w:ascii="仿宋" w:hAnsi="仿宋" w:eastAsia="仿宋" w:cs="仿宋"/>
                <w:color w:val="auto"/>
                <w:sz w:val="18"/>
                <w:szCs w:val="18"/>
                <w:highlight w:val="none"/>
                <w:lang w:val="en-US" w:eastAsia="zh-CN"/>
              </w:rPr>
              <w:t>江苏福如东海发展集团有限公司</w:t>
            </w:r>
          </w:p>
        </w:tc>
        <w:tc>
          <w:tcPr>
            <w:tcW w:w="3229" w:type="dxa"/>
            <w:tcBorders>
              <w:top w:val="single" w:color="auto" w:sz="4" w:space="0"/>
              <w:left w:val="single" w:color="auto" w:sz="4" w:space="0"/>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东海县牛山镇和平西路105号</w:t>
            </w:r>
          </w:p>
        </w:tc>
        <w:tc>
          <w:tcPr>
            <w:tcW w:w="108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18747242</w:t>
            </w:r>
          </w:p>
        </w:tc>
        <w:tc>
          <w:tcPr>
            <w:tcW w:w="97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4.19</w:t>
            </w:r>
          </w:p>
        </w:tc>
      </w:tr>
      <w:tr>
        <w:tblPrEx>
          <w:tblCellMar>
            <w:top w:w="0" w:type="dxa"/>
            <w:left w:w="108" w:type="dxa"/>
            <w:bottom w:w="0" w:type="dxa"/>
            <w:right w:w="108" w:type="dxa"/>
          </w:tblCellMar>
        </w:tblPrEx>
        <w:trPr>
          <w:trHeight w:val="510" w:hRule="exact"/>
          <w:jc w:val="center"/>
        </w:trPr>
        <w:tc>
          <w:tcPr>
            <w:tcW w:w="522" w:type="dxa"/>
            <w:tcBorders>
              <w:top w:val="nil"/>
              <w:left w:val="single" w:color="auto" w:sz="4" w:space="0"/>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7</w:t>
            </w:r>
          </w:p>
        </w:tc>
        <w:tc>
          <w:tcPr>
            <w:tcW w:w="246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default" w:ascii="仿宋" w:hAnsi="仿宋" w:eastAsia="仿宋" w:cs="仿宋"/>
                <w:color w:val="auto"/>
                <w:sz w:val="18"/>
                <w:szCs w:val="18"/>
                <w:highlight w:val="none"/>
                <w:lang w:val="en-US" w:eastAsia="zh-CN"/>
              </w:rPr>
              <w:t>东海县华泰玻璃制品有限公司</w:t>
            </w:r>
          </w:p>
        </w:tc>
        <w:tc>
          <w:tcPr>
            <w:tcW w:w="3229"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东海县石榴镇车庄村</w:t>
            </w:r>
          </w:p>
        </w:tc>
        <w:tc>
          <w:tcPr>
            <w:tcW w:w="108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17169573</w:t>
            </w:r>
          </w:p>
        </w:tc>
        <w:tc>
          <w:tcPr>
            <w:tcW w:w="977"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3.84</w:t>
            </w:r>
          </w:p>
        </w:tc>
      </w:tr>
      <w:tr>
        <w:tblPrEx>
          <w:tblCellMar>
            <w:top w:w="0" w:type="dxa"/>
            <w:left w:w="108" w:type="dxa"/>
            <w:bottom w:w="0" w:type="dxa"/>
            <w:right w:w="108" w:type="dxa"/>
          </w:tblCellMar>
        </w:tblPrEx>
        <w:trPr>
          <w:trHeight w:val="510" w:hRule="exact"/>
          <w:jc w:val="center"/>
        </w:trPr>
        <w:tc>
          <w:tcPr>
            <w:tcW w:w="522" w:type="dxa"/>
            <w:tcBorders>
              <w:top w:val="nil"/>
              <w:left w:val="single" w:color="auto" w:sz="4" w:space="0"/>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8</w:t>
            </w:r>
          </w:p>
        </w:tc>
        <w:tc>
          <w:tcPr>
            <w:tcW w:w="246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default" w:ascii="仿宋" w:hAnsi="仿宋" w:eastAsia="仿宋" w:cs="仿宋"/>
                <w:color w:val="auto"/>
                <w:sz w:val="18"/>
                <w:szCs w:val="18"/>
                <w:highlight w:val="none"/>
                <w:lang w:val="en-US" w:eastAsia="zh-CN"/>
              </w:rPr>
              <w:t>连云港福东石英制品有限公司</w:t>
            </w:r>
          </w:p>
        </w:tc>
        <w:tc>
          <w:tcPr>
            <w:tcW w:w="3229"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连云港市东海县石榴街道石泉路6号</w:t>
            </w:r>
          </w:p>
        </w:tc>
        <w:tc>
          <w:tcPr>
            <w:tcW w:w="108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11204390</w:t>
            </w:r>
          </w:p>
        </w:tc>
        <w:tc>
          <w:tcPr>
            <w:tcW w:w="977"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2.51</w:t>
            </w:r>
          </w:p>
        </w:tc>
      </w:tr>
      <w:tr>
        <w:tblPrEx>
          <w:tblCellMar>
            <w:top w:w="0" w:type="dxa"/>
            <w:left w:w="108" w:type="dxa"/>
            <w:bottom w:w="0" w:type="dxa"/>
            <w:right w:w="108" w:type="dxa"/>
          </w:tblCellMar>
        </w:tblPrEx>
        <w:trPr>
          <w:trHeight w:val="510" w:hRule="exac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9</w:t>
            </w:r>
          </w:p>
        </w:tc>
        <w:tc>
          <w:tcPr>
            <w:tcW w:w="2464" w:type="dxa"/>
            <w:tcBorders>
              <w:top w:val="single" w:color="auto" w:sz="4" w:space="0"/>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default" w:ascii="仿宋" w:hAnsi="仿宋" w:eastAsia="仿宋" w:cs="仿宋"/>
                <w:color w:val="auto"/>
                <w:sz w:val="18"/>
                <w:szCs w:val="18"/>
                <w:highlight w:val="none"/>
                <w:lang w:val="en-US" w:eastAsia="zh-CN"/>
              </w:rPr>
              <w:t>东海县喜庆烟花有限公司</w:t>
            </w:r>
          </w:p>
        </w:tc>
        <w:tc>
          <w:tcPr>
            <w:tcW w:w="3229" w:type="dxa"/>
            <w:tcBorders>
              <w:top w:val="single" w:color="auto" w:sz="4" w:space="0"/>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东海经济开发区东区明珠路111号</w:t>
            </w:r>
          </w:p>
        </w:tc>
        <w:tc>
          <w:tcPr>
            <w:tcW w:w="1085" w:type="dxa"/>
            <w:tcBorders>
              <w:top w:val="single" w:color="auto" w:sz="4" w:space="0"/>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10862180</w:t>
            </w:r>
          </w:p>
        </w:tc>
        <w:tc>
          <w:tcPr>
            <w:tcW w:w="97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2.43</w:t>
            </w:r>
          </w:p>
        </w:tc>
      </w:tr>
      <w:tr>
        <w:tblPrEx>
          <w:tblCellMar>
            <w:top w:w="0" w:type="dxa"/>
            <w:left w:w="108" w:type="dxa"/>
            <w:bottom w:w="0" w:type="dxa"/>
            <w:right w:w="108" w:type="dxa"/>
          </w:tblCellMar>
        </w:tblPrEx>
        <w:trPr>
          <w:trHeight w:val="510" w:hRule="exact"/>
          <w:jc w:val="center"/>
        </w:trPr>
        <w:tc>
          <w:tcPr>
            <w:tcW w:w="522" w:type="dxa"/>
            <w:tcBorders>
              <w:top w:val="single" w:color="auto" w:sz="4" w:space="0"/>
              <w:left w:val="single" w:color="auto" w:sz="4" w:space="0"/>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10</w:t>
            </w:r>
          </w:p>
        </w:tc>
        <w:tc>
          <w:tcPr>
            <w:tcW w:w="2464" w:type="dxa"/>
            <w:tcBorders>
              <w:top w:val="single" w:color="auto" w:sz="4" w:space="0"/>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default" w:ascii="仿宋" w:hAnsi="仿宋" w:eastAsia="仿宋" w:cs="仿宋"/>
                <w:color w:val="auto"/>
                <w:sz w:val="18"/>
                <w:szCs w:val="18"/>
                <w:highlight w:val="none"/>
                <w:lang w:val="en-US" w:eastAsia="zh-CN"/>
              </w:rPr>
              <w:t>南京君和机电有限公司</w:t>
            </w:r>
          </w:p>
        </w:tc>
        <w:tc>
          <w:tcPr>
            <w:tcW w:w="3229" w:type="dxa"/>
            <w:tcBorders>
              <w:top w:val="single" w:color="auto" w:sz="4" w:space="0"/>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南京市白下区中山南路49号30楼CI</w:t>
            </w:r>
          </w:p>
        </w:tc>
        <w:tc>
          <w:tcPr>
            <w:tcW w:w="1085" w:type="dxa"/>
            <w:tcBorders>
              <w:top w:val="single" w:color="auto" w:sz="4" w:space="0"/>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7210475</w:t>
            </w:r>
          </w:p>
        </w:tc>
        <w:tc>
          <w:tcPr>
            <w:tcW w:w="97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1.61</w:t>
            </w:r>
          </w:p>
        </w:tc>
      </w:tr>
    </w:tbl>
    <w:p>
      <w:pPr>
        <w:pStyle w:val="14"/>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Tahoma"/>
          <w:color w:val="auto"/>
          <w:kern w:val="0"/>
          <w:sz w:val="32"/>
          <w:szCs w:val="32"/>
          <w:highlight w:val="none"/>
          <w:lang w:val="en-US" w:eastAsia="zh-CN"/>
        </w:rPr>
      </w:pPr>
      <w:r>
        <w:rPr>
          <w:rFonts w:hint="eastAsia" w:ascii="黑体" w:hAnsi="黑体" w:eastAsia="黑体" w:cs="Tahoma"/>
          <w:color w:val="auto"/>
          <w:kern w:val="0"/>
          <w:sz w:val="32"/>
          <w:szCs w:val="32"/>
          <w:highlight w:val="none"/>
          <w:lang w:val="en-US" w:eastAsia="zh-CN"/>
        </w:rPr>
        <w:t>二、前十大自然人股东情况</w:t>
      </w:r>
    </w:p>
    <w:tbl>
      <w:tblPr>
        <w:tblStyle w:val="27"/>
        <w:tblW w:w="8220" w:type="dxa"/>
        <w:jc w:val="center"/>
        <w:tblLayout w:type="fixed"/>
        <w:tblCellMar>
          <w:top w:w="0" w:type="dxa"/>
          <w:left w:w="108" w:type="dxa"/>
          <w:bottom w:w="0" w:type="dxa"/>
          <w:right w:w="108" w:type="dxa"/>
        </w:tblCellMar>
      </w:tblPr>
      <w:tblGrid>
        <w:gridCol w:w="787"/>
        <w:gridCol w:w="1036"/>
        <w:gridCol w:w="3650"/>
        <w:gridCol w:w="1406"/>
        <w:gridCol w:w="1341"/>
      </w:tblGrid>
      <w:tr>
        <w:tblPrEx>
          <w:tblCellMar>
            <w:top w:w="0" w:type="dxa"/>
            <w:left w:w="108" w:type="dxa"/>
            <w:bottom w:w="0" w:type="dxa"/>
            <w:right w:w="108" w:type="dxa"/>
          </w:tblCellMar>
        </w:tblPrEx>
        <w:trPr>
          <w:trHeight w:val="560" w:hRule="atLeast"/>
          <w:jc w:val="center"/>
        </w:trPr>
        <w:tc>
          <w:tcPr>
            <w:tcW w:w="795" w:type="dxa"/>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exact"/>
              <w:ind w:firstLine="0" w:firstLineChars="0"/>
              <w:jc w:val="center"/>
              <w:rPr>
                <w:rFonts w:hint="eastAsia" w:ascii="仿宋" w:hAnsi="仿宋" w:eastAsia="仿宋" w:cs="仿宋"/>
                <w:bCs/>
                <w:color w:val="auto"/>
                <w:sz w:val="18"/>
                <w:szCs w:val="18"/>
                <w:highlight w:val="none"/>
              </w:rPr>
            </w:pPr>
            <w:r>
              <w:rPr>
                <w:rFonts w:hint="eastAsia" w:ascii="仿宋" w:hAnsi="仿宋" w:eastAsia="仿宋" w:cs="仿宋"/>
                <w:bCs/>
                <w:color w:val="auto"/>
                <w:sz w:val="18"/>
                <w:szCs w:val="18"/>
                <w:highlight w:val="none"/>
              </w:rPr>
              <w:t>序号</w:t>
            </w:r>
          </w:p>
        </w:tc>
        <w:tc>
          <w:tcPr>
            <w:tcW w:w="1046" w:type="dxa"/>
            <w:tcBorders>
              <w:top w:val="single" w:color="auto" w:sz="4" w:space="0"/>
              <w:left w:val="nil"/>
              <w:bottom w:val="single" w:color="auto" w:sz="4" w:space="0"/>
              <w:right w:val="single" w:color="auto" w:sz="4" w:space="0"/>
            </w:tcBorders>
            <w:noWrap w:val="0"/>
            <w:vAlign w:val="center"/>
          </w:tcPr>
          <w:p>
            <w:pPr>
              <w:snapToGrid w:val="0"/>
              <w:spacing w:line="240" w:lineRule="exact"/>
              <w:ind w:firstLine="0" w:firstLineChars="0"/>
              <w:jc w:val="center"/>
              <w:rPr>
                <w:rFonts w:hint="eastAsia" w:ascii="仿宋" w:hAnsi="仿宋" w:eastAsia="仿宋" w:cs="仿宋"/>
                <w:bCs/>
                <w:color w:val="auto"/>
                <w:sz w:val="18"/>
                <w:szCs w:val="18"/>
                <w:highlight w:val="none"/>
              </w:rPr>
            </w:pPr>
            <w:r>
              <w:rPr>
                <w:rFonts w:hint="eastAsia" w:ascii="仿宋" w:hAnsi="仿宋" w:eastAsia="仿宋" w:cs="仿宋"/>
                <w:bCs/>
                <w:color w:val="auto"/>
                <w:sz w:val="18"/>
                <w:szCs w:val="18"/>
                <w:highlight w:val="none"/>
              </w:rPr>
              <w:t>股东 姓名</w:t>
            </w:r>
          </w:p>
        </w:tc>
        <w:tc>
          <w:tcPr>
            <w:tcW w:w="3694" w:type="dxa"/>
            <w:tcBorders>
              <w:top w:val="single" w:color="auto" w:sz="4" w:space="0"/>
              <w:left w:val="nil"/>
              <w:bottom w:val="single" w:color="auto" w:sz="4" w:space="0"/>
              <w:right w:val="single" w:color="auto" w:sz="4" w:space="0"/>
            </w:tcBorders>
            <w:noWrap w:val="0"/>
            <w:vAlign w:val="center"/>
          </w:tcPr>
          <w:p>
            <w:pPr>
              <w:snapToGrid w:val="0"/>
              <w:spacing w:line="240" w:lineRule="exact"/>
              <w:ind w:firstLine="0" w:firstLineChars="0"/>
              <w:jc w:val="center"/>
              <w:rPr>
                <w:rFonts w:hint="eastAsia" w:ascii="仿宋" w:hAnsi="仿宋" w:eastAsia="仿宋" w:cs="仿宋"/>
                <w:bCs/>
                <w:color w:val="auto"/>
                <w:sz w:val="18"/>
                <w:szCs w:val="18"/>
                <w:highlight w:val="none"/>
              </w:rPr>
            </w:pPr>
            <w:r>
              <w:rPr>
                <w:rFonts w:hint="eastAsia" w:ascii="仿宋" w:hAnsi="仿宋" w:eastAsia="仿宋" w:cs="仿宋"/>
                <w:bCs/>
                <w:color w:val="auto"/>
                <w:sz w:val="18"/>
                <w:szCs w:val="18"/>
                <w:highlight w:val="none"/>
              </w:rPr>
              <w:t>住       所</w:t>
            </w:r>
          </w:p>
        </w:tc>
        <w:tc>
          <w:tcPr>
            <w:tcW w:w="1421" w:type="dxa"/>
            <w:tcBorders>
              <w:top w:val="single" w:color="auto" w:sz="4" w:space="0"/>
              <w:left w:val="nil"/>
              <w:bottom w:val="single" w:color="auto" w:sz="4" w:space="0"/>
              <w:right w:val="single" w:color="auto" w:sz="4" w:space="0"/>
            </w:tcBorders>
            <w:noWrap w:val="0"/>
            <w:vAlign w:val="center"/>
          </w:tcPr>
          <w:p>
            <w:pPr>
              <w:snapToGrid w:val="0"/>
              <w:spacing w:line="240" w:lineRule="exact"/>
              <w:ind w:firstLine="0" w:firstLineChars="0"/>
              <w:jc w:val="center"/>
              <w:rPr>
                <w:rFonts w:hint="eastAsia" w:ascii="仿宋" w:hAnsi="仿宋" w:eastAsia="仿宋" w:cs="仿宋"/>
                <w:bCs/>
                <w:color w:val="auto"/>
                <w:sz w:val="18"/>
                <w:szCs w:val="18"/>
                <w:highlight w:val="none"/>
              </w:rPr>
            </w:pPr>
            <w:r>
              <w:rPr>
                <w:rFonts w:hint="eastAsia" w:ascii="仿宋" w:hAnsi="仿宋" w:eastAsia="仿宋" w:cs="仿宋"/>
                <w:bCs/>
                <w:color w:val="auto"/>
                <w:sz w:val="18"/>
                <w:szCs w:val="18"/>
                <w:highlight w:val="none"/>
              </w:rPr>
              <w:t>持股</w:t>
            </w:r>
            <w:r>
              <w:rPr>
                <w:rFonts w:hint="eastAsia" w:ascii="仿宋" w:hAnsi="仿宋" w:eastAsia="仿宋" w:cs="仿宋"/>
                <w:color w:val="auto"/>
                <w:sz w:val="18"/>
                <w:szCs w:val="18"/>
                <w:highlight w:val="none"/>
                <w:lang w:val="en-US" w:eastAsia="zh-CN"/>
              </w:rPr>
              <w:t>数</w:t>
            </w:r>
            <w:r>
              <w:rPr>
                <w:rFonts w:hint="eastAsia" w:ascii="仿宋" w:hAnsi="仿宋" w:eastAsia="仿宋" w:cs="仿宋"/>
                <w:bCs/>
                <w:color w:val="auto"/>
                <w:sz w:val="18"/>
                <w:szCs w:val="18"/>
                <w:highlight w:val="none"/>
              </w:rPr>
              <w:t>（股）</w:t>
            </w:r>
          </w:p>
        </w:tc>
        <w:tc>
          <w:tcPr>
            <w:tcW w:w="1355" w:type="dxa"/>
            <w:tcBorders>
              <w:top w:val="single" w:color="auto" w:sz="4" w:space="0"/>
              <w:left w:val="nil"/>
              <w:bottom w:val="single" w:color="auto" w:sz="4" w:space="0"/>
              <w:right w:val="single" w:color="auto" w:sz="4" w:space="0"/>
            </w:tcBorders>
            <w:noWrap w:val="0"/>
            <w:vAlign w:val="center"/>
          </w:tcPr>
          <w:p>
            <w:pPr>
              <w:snapToGrid w:val="0"/>
              <w:spacing w:line="240" w:lineRule="exact"/>
              <w:ind w:firstLine="0" w:firstLineChars="0"/>
              <w:jc w:val="center"/>
              <w:rPr>
                <w:rFonts w:hint="eastAsia" w:ascii="仿宋" w:hAnsi="仿宋" w:eastAsia="仿宋" w:cs="仿宋"/>
                <w:bCs/>
                <w:color w:val="auto"/>
                <w:sz w:val="18"/>
                <w:szCs w:val="18"/>
                <w:highlight w:val="none"/>
              </w:rPr>
            </w:pPr>
            <w:r>
              <w:rPr>
                <w:rFonts w:hint="eastAsia" w:ascii="仿宋" w:hAnsi="仿宋" w:eastAsia="仿宋" w:cs="仿宋"/>
                <w:color w:val="auto"/>
                <w:kern w:val="0"/>
                <w:sz w:val="18"/>
                <w:szCs w:val="18"/>
                <w:highlight w:val="none"/>
              </w:rPr>
              <w:t>持股比例(%)</w:t>
            </w:r>
          </w:p>
        </w:tc>
      </w:tr>
      <w:tr>
        <w:tblPrEx>
          <w:tblCellMar>
            <w:top w:w="0" w:type="dxa"/>
            <w:left w:w="108" w:type="dxa"/>
            <w:bottom w:w="0" w:type="dxa"/>
            <w:right w:w="108" w:type="dxa"/>
          </w:tblCellMar>
        </w:tblPrEx>
        <w:trPr>
          <w:trHeight w:val="482" w:hRule="atLeast"/>
          <w:jc w:val="center"/>
        </w:trPr>
        <w:tc>
          <w:tcPr>
            <w:tcW w:w="795" w:type="dxa"/>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exact"/>
              <w:ind w:firstLine="0" w:firstLineChars="0"/>
              <w:jc w:val="center"/>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1</w:t>
            </w:r>
          </w:p>
        </w:tc>
        <w:tc>
          <w:tcPr>
            <w:tcW w:w="1046" w:type="dxa"/>
            <w:tcBorders>
              <w:top w:val="single" w:color="auto" w:sz="4" w:space="0"/>
              <w:left w:val="nil"/>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张钰琪</w:t>
            </w:r>
          </w:p>
        </w:tc>
        <w:tc>
          <w:tcPr>
            <w:tcW w:w="3694" w:type="dxa"/>
            <w:tcBorders>
              <w:top w:val="single" w:color="auto" w:sz="4" w:space="0"/>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上海市浦东新区长清路643弄</w:t>
            </w:r>
          </w:p>
        </w:tc>
        <w:tc>
          <w:tcPr>
            <w:tcW w:w="1421" w:type="dxa"/>
            <w:tcBorders>
              <w:top w:val="single" w:color="auto" w:sz="4" w:space="0"/>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8940993</w:t>
            </w:r>
          </w:p>
        </w:tc>
        <w:tc>
          <w:tcPr>
            <w:tcW w:w="1355" w:type="dxa"/>
            <w:tcBorders>
              <w:top w:val="single" w:color="auto" w:sz="4" w:space="0"/>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2.00 </w:t>
            </w:r>
          </w:p>
        </w:tc>
      </w:tr>
      <w:tr>
        <w:tblPrEx>
          <w:tblCellMar>
            <w:top w:w="0" w:type="dxa"/>
            <w:left w:w="108" w:type="dxa"/>
            <w:bottom w:w="0" w:type="dxa"/>
            <w:right w:w="108" w:type="dxa"/>
          </w:tblCellMar>
        </w:tblPrEx>
        <w:trPr>
          <w:trHeight w:val="482" w:hRule="atLeast"/>
          <w:jc w:val="center"/>
        </w:trPr>
        <w:tc>
          <w:tcPr>
            <w:tcW w:w="79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2</w:t>
            </w:r>
          </w:p>
        </w:tc>
        <w:tc>
          <w:tcPr>
            <w:tcW w:w="1046" w:type="dxa"/>
            <w:tcBorders>
              <w:top w:val="single" w:color="auto" w:sz="4" w:space="0"/>
              <w:left w:val="nil"/>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段</w:t>
            </w:r>
            <w:r>
              <w:rPr>
                <w:rFonts w:hint="eastAsia" w:ascii="仿宋" w:hAnsi="仿宋" w:eastAsia="仿宋" w:cs="仿宋"/>
                <w:color w:val="auto"/>
                <w:sz w:val="18"/>
                <w:szCs w:val="18"/>
                <w:highlight w:val="none"/>
                <w:lang w:val="en-US" w:eastAsia="zh-CN"/>
              </w:rPr>
              <w:t xml:space="preserve">  </w:t>
            </w:r>
            <w:r>
              <w:rPr>
                <w:rFonts w:hint="default" w:ascii="仿宋" w:hAnsi="仿宋" w:eastAsia="仿宋" w:cs="仿宋"/>
                <w:color w:val="auto"/>
                <w:sz w:val="18"/>
                <w:szCs w:val="18"/>
                <w:highlight w:val="none"/>
                <w:lang w:val="en-US" w:eastAsia="zh-CN"/>
              </w:rPr>
              <w:t>超</w:t>
            </w:r>
          </w:p>
        </w:tc>
        <w:tc>
          <w:tcPr>
            <w:tcW w:w="3694" w:type="dxa"/>
            <w:tcBorders>
              <w:top w:val="single" w:color="auto" w:sz="4" w:space="0"/>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江苏省东海县牛山街道和平东路</w:t>
            </w:r>
          </w:p>
        </w:tc>
        <w:tc>
          <w:tcPr>
            <w:tcW w:w="1421" w:type="dxa"/>
            <w:tcBorders>
              <w:top w:val="single" w:color="auto" w:sz="4" w:space="0"/>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5738829</w:t>
            </w:r>
          </w:p>
        </w:tc>
        <w:tc>
          <w:tcPr>
            <w:tcW w:w="1355" w:type="dxa"/>
            <w:tcBorders>
              <w:top w:val="single" w:color="auto" w:sz="4" w:space="0"/>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1.28 </w:t>
            </w:r>
          </w:p>
        </w:tc>
      </w:tr>
      <w:tr>
        <w:tblPrEx>
          <w:tblCellMar>
            <w:top w:w="0" w:type="dxa"/>
            <w:left w:w="108" w:type="dxa"/>
            <w:bottom w:w="0" w:type="dxa"/>
            <w:right w:w="108" w:type="dxa"/>
          </w:tblCellMar>
        </w:tblPrEx>
        <w:trPr>
          <w:trHeight w:val="48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3</w:t>
            </w:r>
          </w:p>
        </w:tc>
        <w:tc>
          <w:tcPr>
            <w:tcW w:w="1046" w:type="dxa"/>
            <w:tcBorders>
              <w:top w:val="nil"/>
              <w:left w:val="nil"/>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戴君芳</w:t>
            </w:r>
          </w:p>
        </w:tc>
        <w:tc>
          <w:tcPr>
            <w:tcW w:w="369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江苏省金坛市金城镇冯庄村委冯庄中路</w:t>
            </w:r>
          </w:p>
        </w:tc>
        <w:tc>
          <w:tcPr>
            <w:tcW w:w="1421"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3446378</w:t>
            </w:r>
          </w:p>
        </w:tc>
        <w:tc>
          <w:tcPr>
            <w:tcW w:w="135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0.77 </w:t>
            </w:r>
          </w:p>
        </w:tc>
      </w:tr>
      <w:tr>
        <w:tblPrEx>
          <w:tblCellMar>
            <w:top w:w="0" w:type="dxa"/>
            <w:left w:w="108" w:type="dxa"/>
            <w:bottom w:w="0" w:type="dxa"/>
            <w:right w:w="108" w:type="dxa"/>
          </w:tblCellMar>
        </w:tblPrEx>
        <w:trPr>
          <w:trHeight w:val="48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4</w:t>
            </w:r>
          </w:p>
        </w:tc>
        <w:tc>
          <w:tcPr>
            <w:tcW w:w="1046" w:type="dxa"/>
            <w:tcBorders>
              <w:top w:val="nil"/>
              <w:left w:val="nil"/>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程</w:t>
            </w:r>
            <w:r>
              <w:rPr>
                <w:rFonts w:hint="eastAsia" w:ascii="仿宋" w:hAnsi="仿宋" w:eastAsia="仿宋" w:cs="仿宋"/>
                <w:color w:val="auto"/>
                <w:sz w:val="18"/>
                <w:szCs w:val="18"/>
                <w:highlight w:val="none"/>
                <w:lang w:val="en-US" w:eastAsia="zh-CN"/>
              </w:rPr>
              <w:t xml:space="preserve">  </w:t>
            </w:r>
            <w:r>
              <w:rPr>
                <w:rFonts w:hint="default" w:ascii="仿宋" w:hAnsi="仿宋" w:eastAsia="仿宋" w:cs="仿宋"/>
                <w:color w:val="auto"/>
                <w:sz w:val="18"/>
                <w:szCs w:val="18"/>
                <w:highlight w:val="none"/>
                <w:lang w:val="en-US" w:eastAsia="zh-CN"/>
              </w:rPr>
              <w:t>华</w:t>
            </w:r>
          </w:p>
        </w:tc>
        <w:tc>
          <w:tcPr>
            <w:tcW w:w="369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江苏省灌云县银山伊山镇米巷</w:t>
            </w:r>
          </w:p>
        </w:tc>
        <w:tc>
          <w:tcPr>
            <w:tcW w:w="1421"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2480631</w:t>
            </w:r>
          </w:p>
        </w:tc>
        <w:tc>
          <w:tcPr>
            <w:tcW w:w="135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0.55 </w:t>
            </w:r>
          </w:p>
        </w:tc>
      </w:tr>
      <w:tr>
        <w:tblPrEx>
          <w:tblCellMar>
            <w:top w:w="0" w:type="dxa"/>
            <w:left w:w="108" w:type="dxa"/>
            <w:bottom w:w="0" w:type="dxa"/>
            <w:right w:w="108" w:type="dxa"/>
          </w:tblCellMar>
        </w:tblPrEx>
        <w:trPr>
          <w:trHeight w:val="48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kern w:val="0"/>
                <w:sz w:val="18"/>
                <w:szCs w:val="18"/>
                <w:highlight w:val="none"/>
              </w:rPr>
            </w:pPr>
            <w:r>
              <w:rPr>
                <w:rFonts w:hint="eastAsia" w:ascii="仿宋" w:hAnsi="仿宋" w:eastAsia="仿宋" w:cs="仿宋"/>
                <w:color w:val="auto"/>
                <w:kern w:val="0"/>
                <w:sz w:val="18"/>
                <w:szCs w:val="18"/>
                <w:highlight w:val="none"/>
              </w:rPr>
              <w:t>5</w:t>
            </w:r>
          </w:p>
        </w:tc>
        <w:tc>
          <w:tcPr>
            <w:tcW w:w="1046" w:type="dxa"/>
            <w:tcBorders>
              <w:top w:val="nil"/>
              <w:left w:val="nil"/>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杨化奎</w:t>
            </w:r>
          </w:p>
        </w:tc>
        <w:tc>
          <w:tcPr>
            <w:tcW w:w="369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江苏省东海县驼峰乡杨大庄村</w:t>
            </w:r>
          </w:p>
        </w:tc>
        <w:tc>
          <w:tcPr>
            <w:tcW w:w="1421"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2129066</w:t>
            </w:r>
          </w:p>
        </w:tc>
        <w:tc>
          <w:tcPr>
            <w:tcW w:w="135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0.48 </w:t>
            </w:r>
          </w:p>
        </w:tc>
      </w:tr>
      <w:tr>
        <w:tblPrEx>
          <w:tblCellMar>
            <w:top w:w="0" w:type="dxa"/>
            <w:left w:w="108" w:type="dxa"/>
            <w:bottom w:w="0" w:type="dxa"/>
            <w:right w:w="108" w:type="dxa"/>
          </w:tblCellMar>
        </w:tblPrEx>
        <w:trPr>
          <w:trHeight w:val="48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6</w:t>
            </w:r>
          </w:p>
        </w:tc>
        <w:tc>
          <w:tcPr>
            <w:tcW w:w="1046" w:type="dxa"/>
            <w:tcBorders>
              <w:top w:val="nil"/>
              <w:left w:val="nil"/>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李月琴</w:t>
            </w:r>
          </w:p>
        </w:tc>
        <w:tc>
          <w:tcPr>
            <w:tcW w:w="369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kern w:val="2"/>
                <w:sz w:val="18"/>
                <w:szCs w:val="18"/>
                <w:highlight w:val="none"/>
                <w:lang w:val="en-US" w:eastAsia="zh-CN" w:bidi="ar-SA"/>
              </w:rPr>
            </w:pPr>
            <w:r>
              <w:rPr>
                <w:rFonts w:hint="eastAsia" w:ascii="仿宋" w:hAnsi="仿宋" w:eastAsia="仿宋" w:cs="仿宋"/>
                <w:color w:val="auto"/>
                <w:sz w:val="18"/>
                <w:szCs w:val="18"/>
                <w:highlight w:val="none"/>
              </w:rPr>
              <w:t>江苏省东海县牛山街道清洁巷</w:t>
            </w:r>
          </w:p>
        </w:tc>
        <w:tc>
          <w:tcPr>
            <w:tcW w:w="1421"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1904746</w:t>
            </w:r>
          </w:p>
        </w:tc>
        <w:tc>
          <w:tcPr>
            <w:tcW w:w="135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0.43 </w:t>
            </w:r>
          </w:p>
        </w:tc>
      </w:tr>
      <w:tr>
        <w:tblPrEx>
          <w:tblCellMar>
            <w:top w:w="0" w:type="dxa"/>
            <w:left w:w="108" w:type="dxa"/>
            <w:bottom w:w="0" w:type="dxa"/>
            <w:right w:w="108" w:type="dxa"/>
          </w:tblCellMar>
        </w:tblPrEx>
        <w:trPr>
          <w:trHeight w:val="48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7</w:t>
            </w:r>
          </w:p>
        </w:tc>
        <w:tc>
          <w:tcPr>
            <w:tcW w:w="1046" w:type="dxa"/>
            <w:tcBorders>
              <w:top w:val="nil"/>
              <w:left w:val="nil"/>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雷艳</w:t>
            </w:r>
          </w:p>
        </w:tc>
        <w:tc>
          <w:tcPr>
            <w:tcW w:w="369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江苏省连云港市新浦区郁州南路</w:t>
            </w:r>
          </w:p>
        </w:tc>
        <w:tc>
          <w:tcPr>
            <w:tcW w:w="1421"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1867397</w:t>
            </w:r>
          </w:p>
        </w:tc>
        <w:tc>
          <w:tcPr>
            <w:tcW w:w="135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0.42 </w:t>
            </w:r>
          </w:p>
        </w:tc>
      </w:tr>
      <w:tr>
        <w:tblPrEx>
          <w:tblCellMar>
            <w:top w:w="0" w:type="dxa"/>
            <w:left w:w="108" w:type="dxa"/>
            <w:bottom w:w="0" w:type="dxa"/>
            <w:right w:w="108" w:type="dxa"/>
          </w:tblCellMar>
        </w:tblPrEx>
        <w:trPr>
          <w:trHeight w:val="48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8</w:t>
            </w:r>
          </w:p>
        </w:tc>
        <w:tc>
          <w:tcPr>
            <w:tcW w:w="1046" w:type="dxa"/>
            <w:tcBorders>
              <w:top w:val="nil"/>
              <w:left w:val="nil"/>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顾汉敏</w:t>
            </w:r>
          </w:p>
        </w:tc>
        <w:tc>
          <w:tcPr>
            <w:tcW w:w="369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江苏省东海县牛山街道和平东路</w:t>
            </w:r>
          </w:p>
        </w:tc>
        <w:tc>
          <w:tcPr>
            <w:tcW w:w="1421"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1780191</w:t>
            </w:r>
          </w:p>
        </w:tc>
        <w:tc>
          <w:tcPr>
            <w:tcW w:w="135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0.40 </w:t>
            </w:r>
          </w:p>
        </w:tc>
      </w:tr>
      <w:tr>
        <w:tblPrEx>
          <w:tblCellMar>
            <w:top w:w="0" w:type="dxa"/>
            <w:left w:w="108" w:type="dxa"/>
            <w:bottom w:w="0" w:type="dxa"/>
            <w:right w:w="108" w:type="dxa"/>
          </w:tblCellMar>
        </w:tblPrEx>
        <w:trPr>
          <w:trHeight w:val="48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9</w:t>
            </w:r>
          </w:p>
        </w:tc>
        <w:tc>
          <w:tcPr>
            <w:tcW w:w="1046" w:type="dxa"/>
            <w:tcBorders>
              <w:top w:val="nil"/>
              <w:left w:val="nil"/>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田</w:t>
            </w:r>
            <w:r>
              <w:rPr>
                <w:rFonts w:hint="eastAsia" w:ascii="仿宋" w:hAnsi="仿宋" w:eastAsia="仿宋" w:cs="仿宋"/>
                <w:color w:val="auto"/>
                <w:sz w:val="18"/>
                <w:szCs w:val="18"/>
                <w:highlight w:val="none"/>
                <w:lang w:val="en-US" w:eastAsia="zh-CN"/>
              </w:rPr>
              <w:t xml:space="preserve">  </w:t>
            </w:r>
            <w:r>
              <w:rPr>
                <w:rFonts w:hint="default" w:ascii="仿宋" w:hAnsi="仿宋" w:eastAsia="仿宋" w:cs="仿宋"/>
                <w:color w:val="auto"/>
                <w:sz w:val="18"/>
                <w:szCs w:val="18"/>
                <w:highlight w:val="none"/>
                <w:lang w:val="en-US" w:eastAsia="zh-CN"/>
              </w:rPr>
              <w:t>力</w:t>
            </w:r>
          </w:p>
        </w:tc>
        <w:tc>
          <w:tcPr>
            <w:tcW w:w="369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江苏省东海县牛山街道新建南巷</w:t>
            </w:r>
          </w:p>
        </w:tc>
        <w:tc>
          <w:tcPr>
            <w:tcW w:w="1421"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1442737</w:t>
            </w:r>
          </w:p>
        </w:tc>
        <w:tc>
          <w:tcPr>
            <w:tcW w:w="135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0.32 </w:t>
            </w:r>
          </w:p>
        </w:tc>
      </w:tr>
      <w:tr>
        <w:tblPrEx>
          <w:tblCellMar>
            <w:top w:w="0" w:type="dxa"/>
            <w:left w:w="108" w:type="dxa"/>
            <w:bottom w:w="0" w:type="dxa"/>
            <w:right w:w="108" w:type="dxa"/>
          </w:tblCellMar>
        </w:tblPrEx>
        <w:trPr>
          <w:trHeight w:val="482" w:hRule="atLeast"/>
          <w:jc w:val="center"/>
        </w:trPr>
        <w:tc>
          <w:tcPr>
            <w:tcW w:w="795" w:type="dxa"/>
            <w:tcBorders>
              <w:top w:val="nil"/>
              <w:left w:val="single" w:color="auto" w:sz="4" w:space="0"/>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kern w:val="0"/>
                <w:sz w:val="18"/>
                <w:szCs w:val="18"/>
                <w:highlight w:val="none"/>
                <w:lang w:val="en-US" w:eastAsia="zh-CN" w:bidi="ar-SA"/>
              </w:rPr>
            </w:pPr>
            <w:r>
              <w:rPr>
                <w:rFonts w:hint="eastAsia" w:ascii="仿宋" w:hAnsi="仿宋" w:eastAsia="仿宋" w:cs="仿宋"/>
                <w:color w:val="auto"/>
                <w:kern w:val="0"/>
                <w:sz w:val="18"/>
                <w:szCs w:val="18"/>
                <w:highlight w:val="none"/>
              </w:rPr>
              <w:t>10</w:t>
            </w:r>
          </w:p>
        </w:tc>
        <w:tc>
          <w:tcPr>
            <w:tcW w:w="1046" w:type="dxa"/>
            <w:tcBorders>
              <w:top w:val="nil"/>
              <w:left w:val="nil"/>
              <w:bottom w:val="single" w:color="auto" w:sz="4" w:space="0"/>
              <w:right w:val="single" w:color="auto" w:sz="4" w:space="0"/>
            </w:tcBorders>
            <w:noWrap w:val="0"/>
            <w:vAlign w:val="center"/>
          </w:tcPr>
          <w:p>
            <w:pPr>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徐红梅</w:t>
            </w:r>
          </w:p>
        </w:tc>
        <w:tc>
          <w:tcPr>
            <w:tcW w:w="3694" w:type="dxa"/>
            <w:tcBorders>
              <w:top w:val="nil"/>
              <w:left w:val="nil"/>
              <w:bottom w:val="single" w:color="auto" w:sz="4" w:space="0"/>
              <w:right w:val="single" w:color="auto" w:sz="4" w:space="0"/>
            </w:tcBorders>
            <w:noWrap w:val="0"/>
            <w:vAlign w:val="center"/>
          </w:tcPr>
          <w:p>
            <w:pPr>
              <w:spacing w:line="240" w:lineRule="exact"/>
              <w:ind w:firstLine="0" w:firstLineChars="0"/>
              <w:jc w:val="lef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江苏省灌云县下车镇石羊村后西庄</w:t>
            </w:r>
          </w:p>
        </w:tc>
        <w:tc>
          <w:tcPr>
            <w:tcW w:w="1421"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default" w:ascii="仿宋" w:hAnsi="仿宋" w:eastAsia="仿宋" w:cs="仿宋"/>
                <w:color w:val="auto"/>
                <w:sz w:val="18"/>
                <w:szCs w:val="18"/>
                <w:highlight w:val="none"/>
                <w:lang w:val="en-US" w:eastAsia="zh-CN"/>
              </w:rPr>
              <w:t>1442095</w:t>
            </w:r>
          </w:p>
        </w:tc>
        <w:tc>
          <w:tcPr>
            <w:tcW w:w="1355" w:type="dxa"/>
            <w:tcBorders>
              <w:top w:val="nil"/>
              <w:left w:val="nil"/>
              <w:bottom w:val="single" w:color="auto" w:sz="4" w:space="0"/>
              <w:right w:val="single" w:color="auto" w:sz="4" w:space="0"/>
            </w:tcBorders>
            <w:noWrap w:val="0"/>
            <w:vAlign w:val="center"/>
          </w:tcPr>
          <w:p>
            <w:pPr>
              <w:widowControl/>
              <w:snapToGrid w:val="0"/>
              <w:spacing w:line="240" w:lineRule="exact"/>
              <w:ind w:firstLine="0" w:firstLineChars="0"/>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auto"/>
                <w:sz w:val="18"/>
                <w:szCs w:val="18"/>
                <w:highlight w:val="none"/>
                <w:lang w:val="en-US" w:eastAsia="zh-CN"/>
              </w:rPr>
              <w:t xml:space="preserve">0.32 </w:t>
            </w:r>
          </w:p>
        </w:tc>
      </w:tr>
    </w:tbl>
    <w:p>
      <w:pPr>
        <w:spacing w:line="480" w:lineRule="exact"/>
        <w:ind w:firstLine="640" w:firstLineChars="200"/>
        <w:rPr>
          <w:rFonts w:hint="eastAsia" w:ascii="黑体" w:hAnsi="黑体" w:eastAsia="黑体" w:cs="黑体"/>
          <w:color w:val="auto"/>
          <w:kern w:val="0"/>
          <w:sz w:val="32"/>
          <w:szCs w:val="32"/>
          <w:highlight w:val="none"/>
          <w:lang w:val="en-US" w:eastAsia="zh-CN" w:bidi="ar-SA"/>
        </w:rPr>
      </w:pPr>
      <w:r>
        <w:rPr>
          <w:rFonts w:hint="eastAsia" w:ascii="黑体" w:hAnsi="黑体" w:eastAsia="黑体"/>
          <w:color w:val="auto"/>
          <w:sz w:val="32"/>
          <w:szCs w:val="32"/>
          <w:highlight w:val="none"/>
          <w:lang w:val="en-US" w:eastAsia="zh-CN"/>
        </w:rPr>
        <w:t>三</w:t>
      </w:r>
      <w:r>
        <w:rPr>
          <w:rFonts w:hint="eastAsia" w:ascii="黑体" w:hAnsi="黑体" w:eastAsia="黑体"/>
          <w:color w:val="auto"/>
          <w:sz w:val="32"/>
          <w:szCs w:val="32"/>
          <w:highlight w:val="none"/>
        </w:rPr>
        <w:t>、注册资本变更情况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经我行党委会研究、第</w:t>
      </w:r>
      <w:r>
        <w:rPr>
          <w:rFonts w:hint="eastAsia" w:eastAsia="仿宋_GB2312" w:cs="Times New Roman"/>
          <w:color w:val="auto"/>
          <w:sz w:val="32"/>
          <w:szCs w:val="32"/>
          <w:lang w:val="en-US" w:eastAsia="zh-CN"/>
        </w:rPr>
        <w:t>四</w:t>
      </w:r>
      <w:r>
        <w:rPr>
          <w:rFonts w:hint="eastAsia" w:ascii="Times New Roman" w:hAnsi="Times New Roman" w:eastAsia="仿宋_GB2312" w:cs="Times New Roman"/>
          <w:color w:val="auto"/>
          <w:sz w:val="32"/>
          <w:szCs w:val="32"/>
          <w:lang w:val="en-US" w:eastAsia="zh-CN"/>
        </w:rPr>
        <w:t>届董事会第</w:t>
      </w:r>
      <w:r>
        <w:rPr>
          <w:rFonts w:hint="eastAsia" w:eastAsia="仿宋_GB2312" w:cs="Times New Roman"/>
          <w:color w:val="auto"/>
          <w:sz w:val="32"/>
          <w:szCs w:val="32"/>
          <w:lang w:val="en-US" w:eastAsia="zh-CN"/>
        </w:rPr>
        <w:t>四</w:t>
      </w:r>
      <w:r>
        <w:rPr>
          <w:rFonts w:hint="eastAsia" w:ascii="Times New Roman" w:hAnsi="Times New Roman" w:eastAsia="仿宋_GB2312" w:cs="Times New Roman"/>
          <w:color w:val="auto"/>
          <w:sz w:val="32"/>
          <w:szCs w:val="32"/>
          <w:lang w:val="en-US" w:eastAsia="zh-CN"/>
        </w:rPr>
        <w:t>次会议审议及202</w:t>
      </w:r>
      <w:r>
        <w:rPr>
          <w:rFonts w:hint="eastAsia" w:eastAsia="仿宋_GB2312" w:cs="Times New Roman"/>
          <w:color w:val="auto"/>
          <w:sz w:val="32"/>
          <w:szCs w:val="32"/>
          <w:lang w:val="en-US" w:eastAsia="zh-CN"/>
        </w:rPr>
        <w:t>5</w:t>
      </w:r>
      <w:r>
        <w:rPr>
          <w:rFonts w:hint="eastAsia" w:ascii="Times New Roman" w:hAnsi="Times New Roman" w:eastAsia="仿宋_GB2312" w:cs="Times New Roman"/>
          <w:color w:val="auto"/>
          <w:sz w:val="32"/>
          <w:szCs w:val="32"/>
          <w:lang w:val="en-US" w:eastAsia="zh-CN"/>
        </w:rPr>
        <w:t>年度股东会表决通过，本行对注册资本进行变更，具体如下：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按照5.0%分配股金红利。具体方式以2025年12月31日的总股本44704.9590万股为基数，以未分配利润向全体股东每1股送股0.01元、分配现金0.04元。</w:t>
      </w:r>
      <w:r>
        <w:rPr>
          <w:rFonts w:hint="eastAsia" w:ascii="Times New Roman" w:hAnsi="Times New Roman" w:eastAsia="仿宋_GB2312" w:cs="Times New Roman"/>
          <w:color w:val="auto"/>
          <w:sz w:val="32"/>
          <w:szCs w:val="32"/>
          <w:lang w:val="zh-CN" w:eastAsia="zh-CN"/>
        </w:rPr>
        <w:t>每股面值人民币1元</w:t>
      </w:r>
      <w:r>
        <w:rPr>
          <w:rFonts w:hint="eastAsia" w:ascii="Times New Roman" w:hAnsi="Times New Roman" w:eastAsia="仿宋_GB2312" w:cs="Times New Roman"/>
          <w:color w:val="auto"/>
          <w:sz w:val="32"/>
          <w:szCs w:val="32"/>
          <w:lang w:val="en-US" w:eastAsia="zh-CN"/>
        </w:rPr>
        <w:t>，本次转增447.0203万‬股，用于充实本行资本金。本次转增后</w:t>
      </w:r>
      <w:r>
        <w:rPr>
          <w:rFonts w:hint="eastAsia" w:ascii="Times New Roman" w:hAnsi="Times New Roman" w:eastAsia="仿宋_GB2312" w:cs="Times New Roman"/>
          <w:color w:val="auto"/>
          <w:sz w:val="32"/>
          <w:szCs w:val="32"/>
          <w:lang w:val="zh-CN" w:eastAsia="zh-CN"/>
        </w:rPr>
        <w:t>我行的股份总数</w:t>
      </w:r>
      <w:r>
        <w:rPr>
          <w:rFonts w:hint="eastAsia" w:ascii="Times New Roman" w:hAnsi="Times New Roman" w:eastAsia="仿宋_GB2312" w:cs="Times New Roman"/>
          <w:color w:val="auto"/>
          <w:sz w:val="32"/>
          <w:szCs w:val="32"/>
          <w:lang w:val="en-US" w:eastAsia="zh-CN"/>
        </w:rPr>
        <w:t>达到45151.9793</w:t>
      </w:r>
      <w:r>
        <w:rPr>
          <w:rFonts w:hint="eastAsia" w:ascii="Times New Roman" w:hAnsi="Times New Roman" w:eastAsia="仿宋_GB2312" w:cs="Times New Roman"/>
          <w:color w:val="auto"/>
          <w:sz w:val="32"/>
          <w:szCs w:val="32"/>
          <w:lang w:val="zh-CN" w:eastAsia="zh-CN"/>
        </w:rPr>
        <w:t>万股，金额</w:t>
      </w:r>
      <w:r>
        <w:rPr>
          <w:rFonts w:hint="eastAsia" w:ascii="Times New Roman" w:hAnsi="Times New Roman" w:eastAsia="仿宋_GB2312" w:cs="Times New Roman"/>
          <w:color w:val="auto"/>
          <w:sz w:val="32"/>
          <w:szCs w:val="32"/>
          <w:lang w:val="en-US" w:eastAsia="zh-CN"/>
        </w:rPr>
        <w:t>45151.9793</w:t>
      </w:r>
      <w:r>
        <w:rPr>
          <w:rFonts w:hint="eastAsia" w:ascii="Times New Roman" w:hAnsi="Times New Roman" w:eastAsia="仿宋_GB2312" w:cs="Times New Roman"/>
          <w:color w:val="auto"/>
          <w:sz w:val="32"/>
          <w:szCs w:val="32"/>
          <w:lang w:val="zh-CN" w:eastAsia="zh-CN"/>
        </w:rPr>
        <w:t>万元</w:t>
      </w:r>
      <w:r>
        <w:rPr>
          <w:rFonts w:hint="eastAsia" w:ascii="Times New Roman" w:hAnsi="Times New Roman" w:eastAsia="仿宋_GB2312" w:cs="Times New Roman"/>
          <w:color w:val="auto"/>
          <w:sz w:val="32"/>
          <w:szCs w:val="32"/>
          <w:lang w:val="en-US" w:eastAsia="zh-CN"/>
        </w:rPr>
        <w:t>，注册资本为45151.9793万元。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目前尚需监管核准。</w:t>
      </w:r>
    </w:p>
    <w:p>
      <w:pPr>
        <w:keepNext w:val="0"/>
        <w:keepLines w:val="0"/>
        <w:pageBreakBefore w:val="0"/>
        <w:widowControl w:val="0"/>
        <w:kinsoku/>
        <w:wordWrap/>
        <w:autoSpaceDE/>
        <w:autoSpaceDN/>
        <w:bidi w:val="0"/>
        <w:adjustRightInd/>
        <w:snapToGrid/>
        <w:spacing w:line="560" w:lineRule="exact"/>
        <w:ind w:firstLine="640" w:firstLineChars="200"/>
        <w:textAlignment w:val="auto"/>
        <w:rPr>
          <w:rFonts w:ascii="黑体" w:hAnsi="黑体" w:eastAsia="黑体" w:cs="Tahoma"/>
          <w:color w:val="auto"/>
          <w:kern w:val="0"/>
          <w:sz w:val="32"/>
          <w:szCs w:val="32"/>
          <w:highlight w:val="none"/>
        </w:rPr>
      </w:pPr>
      <w:r>
        <w:rPr>
          <w:rFonts w:hint="eastAsia" w:ascii="黑体" w:hAnsi="黑体" w:eastAsia="黑体" w:cs="黑体"/>
          <w:color w:val="auto"/>
          <w:kern w:val="0"/>
          <w:sz w:val="32"/>
          <w:szCs w:val="32"/>
          <w:highlight w:val="none"/>
          <w:lang w:val="en-US" w:eastAsia="zh-CN"/>
        </w:rPr>
        <w:t>四</w:t>
      </w:r>
      <w:r>
        <w:rPr>
          <w:rFonts w:hint="eastAsia" w:ascii="黑体" w:hAnsi="黑体" w:eastAsia="黑体" w:cs="黑体"/>
          <w:color w:val="auto"/>
          <w:kern w:val="0"/>
          <w:sz w:val="32"/>
          <w:szCs w:val="32"/>
          <w:highlight w:val="none"/>
        </w:rPr>
        <w:t>、</w:t>
      </w:r>
      <w:bookmarkStart w:id="19" w:name="_Toc408991556"/>
      <w:bookmarkStart w:id="20" w:name="_Toc408991759"/>
      <w:r>
        <w:rPr>
          <w:rFonts w:hint="eastAsia" w:ascii="黑体" w:hAnsi="黑体" w:eastAsia="黑体" w:cs="Tahoma"/>
          <w:color w:val="auto"/>
          <w:kern w:val="0"/>
          <w:sz w:val="32"/>
          <w:szCs w:val="32"/>
          <w:highlight w:val="none"/>
        </w:rPr>
        <w:t>高级管理人员变动情况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报告期内无变动。</w:t>
      </w:r>
    </w:p>
    <w:bookmarkEnd w:id="19"/>
    <w:bookmarkEnd w:id="20"/>
    <w:p>
      <w:pPr>
        <w:pStyle w:val="24"/>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仿宋_GB2312"/>
          <w:b/>
          <w:bCs/>
          <w:color w:val="auto"/>
          <w:kern w:val="0"/>
          <w:highlight w:val="none"/>
          <w:lang w:eastAsia="zh-CN"/>
        </w:rPr>
      </w:pPr>
      <w:bookmarkStart w:id="21" w:name="_Toc5784"/>
      <w:r>
        <w:rPr>
          <w:rFonts w:hint="eastAsia" w:ascii="仿宋_GB2312" w:hAnsi="仿宋_GB2312" w:eastAsia="仿宋_GB2312" w:cs="仿宋_GB2312"/>
          <w:b/>
          <w:bCs/>
          <w:color w:val="auto"/>
          <w:kern w:val="0"/>
          <w:highlight w:val="none"/>
        </w:rPr>
        <w:t>第七章　财务会计报告</w:t>
      </w:r>
      <w:bookmarkEnd w:id="21"/>
    </w:p>
    <w:p>
      <w:pPr>
        <w:pStyle w:val="14"/>
        <w:keepNext w:val="0"/>
        <w:keepLines w:val="0"/>
        <w:pageBreakBefore w:val="0"/>
        <w:widowControl w:val="0"/>
        <w:kinsoku/>
        <w:wordWrap/>
        <w:autoSpaceDE/>
        <w:autoSpaceDN/>
        <w:bidi w:val="0"/>
        <w:adjustRightInd/>
        <w:snapToGrid/>
        <w:spacing w:line="560" w:lineRule="exact"/>
        <w:ind w:firstLine="640" w:firstLineChars="200"/>
        <w:textAlignment w:val="auto"/>
        <w:rPr>
          <w:rFonts w:ascii="黑体" w:hAnsi="黑体" w:eastAsia="黑体"/>
          <w:color w:val="auto"/>
          <w:kern w:val="0"/>
          <w:sz w:val="32"/>
          <w:szCs w:val="32"/>
          <w:highlight w:val="none"/>
        </w:rPr>
      </w:pPr>
      <w:r>
        <w:rPr>
          <w:rFonts w:ascii="黑体" w:hAnsi="黑体" w:eastAsia="黑体"/>
          <w:color w:val="auto"/>
          <w:kern w:val="0"/>
          <w:sz w:val="32"/>
          <w:szCs w:val="32"/>
          <w:highlight w:val="none"/>
        </w:rPr>
        <w:t>一、资产负债表</w:t>
      </w:r>
    </w:p>
    <w:p>
      <w:pPr>
        <w:pStyle w:val="14"/>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Times New Roman" w:eastAsia="仿宋_GB2312" w:cs="Times New Roman"/>
          <w:b w:val="0"/>
          <w:color w:val="auto"/>
          <w:kern w:val="2"/>
          <w:sz w:val="32"/>
          <w:szCs w:val="32"/>
          <w:highlight w:val="none"/>
          <w:lang w:val="en-US" w:eastAsia="zh-CN" w:bidi="ar-SA"/>
        </w:rPr>
      </w:pPr>
      <w:r>
        <w:rPr>
          <w:rFonts w:hint="eastAsia" w:ascii="仿宋_GB2312" w:hAnsi="Times New Roman" w:eastAsia="仿宋_GB2312" w:cs="Times New Roman"/>
          <w:b/>
          <w:bCs/>
          <w:color w:val="auto"/>
          <w:kern w:val="2"/>
          <w:sz w:val="32"/>
          <w:szCs w:val="32"/>
          <w:highlight w:val="none"/>
          <w:lang w:val="en-US" w:eastAsia="zh-CN" w:bidi="ar-SA"/>
        </w:rPr>
        <w:t>江苏东海农村商业银行股份有限公司资产负债表</w:t>
      </w:r>
    </w:p>
    <w:p>
      <w:pPr>
        <w:pStyle w:val="14"/>
        <w:spacing w:line="360" w:lineRule="auto"/>
        <w:ind w:firstLine="1200" w:firstLineChars="500"/>
        <w:jc w:val="both"/>
        <w:rPr>
          <w:rFonts w:hint="eastAsia" w:ascii="楷体_GB2312" w:hAnsi="仿宋_GB2312" w:eastAsia="楷体_GB2312"/>
          <w:color w:val="auto"/>
          <w:kern w:val="0"/>
          <w:sz w:val="24"/>
          <w:szCs w:val="24"/>
          <w:highlight w:val="none"/>
          <w:lang w:val="en-US" w:eastAsia="zh-CN"/>
        </w:rPr>
      </w:pPr>
      <w:r>
        <w:rPr>
          <w:rFonts w:ascii="楷体_GB2312" w:hAnsi="仿宋_GB2312" w:eastAsia="楷体_GB2312"/>
          <w:color w:val="auto"/>
          <w:kern w:val="0"/>
          <w:sz w:val="24"/>
          <w:szCs w:val="24"/>
          <w:highlight w:val="none"/>
        </w:rPr>
        <w:t>20</w:t>
      </w:r>
      <w:r>
        <w:rPr>
          <w:rFonts w:hint="eastAsia" w:ascii="楷体_GB2312" w:hAnsi="仿宋_GB2312" w:eastAsia="楷体_GB2312"/>
          <w:color w:val="auto"/>
          <w:kern w:val="0"/>
          <w:sz w:val="24"/>
          <w:szCs w:val="24"/>
          <w:highlight w:val="none"/>
        </w:rPr>
        <w:t>2</w:t>
      </w:r>
      <w:r>
        <w:rPr>
          <w:rFonts w:hint="eastAsia" w:ascii="楷体_GB2312" w:hAnsi="仿宋_GB2312" w:eastAsia="楷体_GB2312"/>
          <w:color w:val="auto"/>
          <w:kern w:val="0"/>
          <w:sz w:val="24"/>
          <w:szCs w:val="24"/>
          <w:highlight w:val="none"/>
          <w:lang w:val="en-US" w:eastAsia="zh-CN"/>
        </w:rPr>
        <w:t>6</w:t>
      </w:r>
      <w:r>
        <w:rPr>
          <w:rFonts w:ascii="楷体_GB2312" w:hAnsi="仿宋_GB2312" w:eastAsia="楷体_GB2312"/>
          <w:color w:val="auto"/>
          <w:kern w:val="0"/>
          <w:sz w:val="24"/>
          <w:szCs w:val="24"/>
          <w:highlight w:val="none"/>
        </w:rPr>
        <w:t>年</w:t>
      </w:r>
      <w:r>
        <w:rPr>
          <w:rFonts w:hint="eastAsia" w:ascii="楷体_GB2312" w:hAnsi="仿宋_GB2312" w:eastAsia="楷体_GB2312"/>
          <w:color w:val="auto"/>
          <w:kern w:val="0"/>
          <w:sz w:val="24"/>
          <w:szCs w:val="24"/>
          <w:highlight w:val="none"/>
          <w:lang w:val="en-US" w:eastAsia="zh-CN"/>
        </w:rPr>
        <w:t>6</w:t>
      </w:r>
      <w:r>
        <w:rPr>
          <w:rFonts w:ascii="楷体_GB2312" w:hAnsi="仿宋_GB2312" w:eastAsia="楷体_GB2312"/>
          <w:color w:val="auto"/>
          <w:kern w:val="0"/>
          <w:sz w:val="24"/>
          <w:szCs w:val="24"/>
          <w:highlight w:val="none"/>
        </w:rPr>
        <w:t>月3</w:t>
      </w:r>
      <w:r>
        <w:rPr>
          <w:rFonts w:hint="eastAsia" w:ascii="楷体_GB2312" w:hAnsi="仿宋_GB2312" w:eastAsia="楷体_GB2312"/>
          <w:color w:val="auto"/>
          <w:kern w:val="0"/>
          <w:sz w:val="24"/>
          <w:szCs w:val="24"/>
          <w:highlight w:val="none"/>
          <w:lang w:val="en-US" w:eastAsia="zh-CN"/>
        </w:rPr>
        <w:t>0</w:t>
      </w:r>
      <w:r>
        <w:rPr>
          <w:rFonts w:ascii="楷体_GB2312" w:hAnsi="仿宋_GB2312" w:eastAsia="楷体_GB2312"/>
          <w:color w:val="auto"/>
          <w:kern w:val="0"/>
          <w:sz w:val="24"/>
          <w:szCs w:val="24"/>
          <w:highlight w:val="none"/>
        </w:rPr>
        <w:t>日</w:t>
      </w:r>
      <w:r>
        <w:rPr>
          <w:rFonts w:hint="eastAsia" w:ascii="楷体_GB2312" w:hAnsi="仿宋_GB2312" w:eastAsia="楷体_GB2312"/>
          <w:color w:val="auto"/>
          <w:kern w:val="0"/>
          <w:sz w:val="24"/>
          <w:szCs w:val="24"/>
          <w:highlight w:val="none"/>
          <w:lang w:val="en-US" w:eastAsia="zh-CN"/>
        </w:rPr>
        <w:t xml:space="preserve">             单位：元</w:t>
      </w:r>
    </w:p>
    <w:tbl>
      <w:tblPr>
        <w:tblStyle w:val="27"/>
        <w:tblW w:w="822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359"/>
        <w:gridCol w:w="717"/>
        <w:gridCol w:w="2072"/>
        <w:gridCol w:w="20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28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资     产</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行次</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年初余额</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期末余额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资  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_GB2312" w:hAnsi="Arial" w:eastAsia="楷体_GB2312" w:cs="楷体_GB2312"/>
                <w:b/>
                <w:bCs/>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楷体_GB2312" w:hAnsi="Arial" w:eastAsia="楷体_GB2312" w:cs="楷体_GB2312"/>
                <w:b/>
                <w:bCs/>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楷体_GB2312" w:hAnsi="Arial" w:eastAsia="楷体_GB2312" w:cs="楷体_GB2312"/>
                <w:b/>
                <w:bCs/>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现金及存放中央银行款项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1</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1552860182.85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2897653753.92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贵金属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2</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存放联行款项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3</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存放同业款项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4</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478781669.30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155682587.95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拆出资金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5</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200442465.75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交易性金融资产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6</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衍生金融资产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7</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买入返售金融资产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8</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应收款项类金融资产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9</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应收利息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10</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应收股利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11</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其他应收款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12</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58345448.21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80114138.99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发放贷款和垫款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13</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18809968246.22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19780165963.79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可供出售金融资产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14</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其他债权投资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15</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8362229112.22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8262806625.03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持有至到期投资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16</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债权投资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17</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1556937333.62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1836319805.96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其他权益工具投资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18</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99900000.00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99900000.00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长期股权投资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19</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投资性房地产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20</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固定资产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21</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74715345.53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71210322.77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在建工程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22</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64634.80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固定资产清理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23</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使用权资产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24</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2571781.23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2456096.88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无形资产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25</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90871029.50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89202958.42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开发支出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26</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长期待摊费用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27</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18277835.42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13520975.56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抵债资产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28</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持有待售资产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29</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递延所得税资产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30</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233740041.19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212368739.93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待处理财产损溢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31</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其他资产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32</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1418952.10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1417575.94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楷体_GB2312" w:hAnsi="Arial" w:eastAsia="楷体_GB2312" w:cs="楷体_GB2312"/>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资产总计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33</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31541059443.14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33502884179.94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负债及所有者权益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行次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年初余额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期末余额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负  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楷体_GB2312" w:hAnsi="Arial" w:eastAsia="楷体_GB2312" w:cs="楷体_GB2312"/>
                <w:b/>
                <w:bCs/>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楷体_GB2312" w:hAnsi="Arial" w:eastAsia="楷体_GB2312" w:cs="楷体_GB2312"/>
                <w:b/>
                <w:bCs/>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楷体_GB2312" w:hAnsi="Arial" w:eastAsia="楷体_GB2312" w:cs="楷体_GB2312"/>
                <w:b/>
                <w:bCs/>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向中央银行借款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34</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974034520.55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1215639178.08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联行存放款项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35</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同业及其他金融机构存放款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36</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9591568.35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7421777.10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拆入资金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37</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交易性金融负债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38</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衍生金融负债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39</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卖出回购金融资产款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40</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吸收存款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41</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27692524365.27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29194777300.07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应付职工薪酬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42</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84482177.46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60671041.58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应交税费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43</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17046773.82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41839211.79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应付利息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44</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应付股利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45</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421598.27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405306.33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其他应付款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46</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28339375.62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25995334.70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预计负债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47</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11413751.87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10736389.09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应付债券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48</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租赁负债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49</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2430661.67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1816024.34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持有待售负债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50</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递延所得税负债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51</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其他负债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52</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178250.54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339254.35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负债总计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53</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28820463043.42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30559640817.43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所有者权益：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54</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实收资本（股本）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55</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447049590.00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447049590.00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其中：法人股股本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56</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281892132.00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281892132.00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 xml:space="preserve">      自然人股股本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57</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165157458.00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165157458.00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 xml:space="preserve">      其他股本</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58</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资本公积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59</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减：库存股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60</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其他综合收益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61</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34600325.03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77394925.65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盈余公积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62</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1375181928.18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1375181928.18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一般风险准备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63</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524901569.97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524901569.97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未分配利润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64</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338862986.54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518715348.71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i w:val="0"/>
                <w:iCs w:val="0"/>
                <w:color w:val="auto"/>
                <w:sz w:val="20"/>
                <w:szCs w:val="20"/>
                <w:highlight w:val="none"/>
                <w:u w:val="none"/>
              </w:rPr>
            </w:pPr>
            <w:r>
              <w:rPr>
                <w:rFonts w:hint="eastAsia" w:ascii="楷体_GB2312" w:hAnsi="Arial" w:eastAsia="楷体_GB2312" w:cs="楷体_GB2312"/>
                <w:i w:val="0"/>
                <w:iCs w:val="0"/>
                <w:color w:val="auto"/>
                <w:kern w:val="0"/>
                <w:sz w:val="20"/>
                <w:szCs w:val="20"/>
                <w:highlight w:val="none"/>
                <w:u w:val="none"/>
                <w:lang w:val="en-US" w:eastAsia="zh-CN" w:bidi="ar"/>
              </w:rPr>
              <w:t>其他权益工具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65</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所有者权益合计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66</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2720596399.72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2943243362.51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楷体_GB2312" w:hAnsi="Arial" w:eastAsia="楷体_GB2312" w:cs="楷体_GB2312"/>
                <w:b/>
                <w:bCs/>
                <w:i w:val="0"/>
                <w:iCs w:val="0"/>
                <w:color w:val="auto"/>
                <w:sz w:val="20"/>
                <w:szCs w:val="20"/>
                <w:highlight w:val="none"/>
                <w:u w:val="none"/>
              </w:rPr>
            </w:pPr>
            <w:r>
              <w:rPr>
                <w:rFonts w:hint="eastAsia" w:ascii="楷体_GB2312" w:hAnsi="Arial" w:eastAsia="楷体_GB2312" w:cs="楷体_GB2312"/>
                <w:b/>
                <w:bCs/>
                <w:i w:val="0"/>
                <w:iCs w:val="0"/>
                <w:color w:val="auto"/>
                <w:kern w:val="0"/>
                <w:sz w:val="20"/>
                <w:szCs w:val="20"/>
                <w:highlight w:val="none"/>
                <w:u w:val="none"/>
                <w:lang w:val="en-US" w:eastAsia="zh-CN" w:bidi="ar"/>
              </w:rPr>
              <w:t>负债及所有者权益总计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67</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31541059443.14 </w:t>
            </w:r>
          </w:p>
        </w:tc>
        <w:tc>
          <w:tcPr>
            <w:tcW w:w="17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33502884179.94 </w:t>
            </w:r>
          </w:p>
        </w:tc>
      </w:tr>
    </w:tbl>
    <w:p>
      <w:pPr>
        <w:pStyle w:val="14"/>
        <w:spacing w:line="360" w:lineRule="auto"/>
        <w:ind w:firstLine="640" w:firstLineChars="200"/>
        <w:rPr>
          <w:rFonts w:ascii="黑体" w:hAnsi="黑体" w:eastAsia="黑体"/>
          <w:color w:val="auto"/>
          <w:kern w:val="0"/>
          <w:sz w:val="32"/>
          <w:szCs w:val="32"/>
          <w:highlight w:val="none"/>
        </w:rPr>
      </w:pPr>
      <w:r>
        <w:rPr>
          <w:rFonts w:ascii="黑体" w:hAnsi="黑体" w:eastAsia="黑体"/>
          <w:color w:val="auto"/>
          <w:kern w:val="0"/>
          <w:sz w:val="32"/>
          <w:szCs w:val="32"/>
          <w:highlight w:val="none"/>
        </w:rPr>
        <w:t>二、</w:t>
      </w:r>
      <w:r>
        <w:rPr>
          <w:rFonts w:hint="eastAsia" w:ascii="黑体" w:hAnsi="黑体" w:eastAsia="黑体"/>
          <w:color w:val="auto"/>
          <w:kern w:val="0"/>
          <w:sz w:val="32"/>
          <w:szCs w:val="32"/>
          <w:highlight w:val="none"/>
          <w:lang w:val="en-US" w:eastAsia="zh-CN"/>
        </w:rPr>
        <w:t>利润</w:t>
      </w:r>
      <w:r>
        <w:rPr>
          <w:rFonts w:ascii="黑体" w:hAnsi="黑体" w:eastAsia="黑体"/>
          <w:color w:val="auto"/>
          <w:kern w:val="0"/>
          <w:sz w:val="32"/>
          <w:szCs w:val="32"/>
          <w:highlight w:val="none"/>
        </w:rPr>
        <w:t>表</w:t>
      </w:r>
    </w:p>
    <w:p>
      <w:pPr>
        <w:pStyle w:val="14"/>
        <w:spacing w:line="360" w:lineRule="auto"/>
        <w:jc w:val="center"/>
        <w:rPr>
          <w:rFonts w:hint="eastAsia" w:ascii="仿宋_GB2312" w:hAnsi="Times New Roman" w:eastAsia="仿宋_GB2312" w:cs="Times New Roman"/>
          <w:b/>
          <w:bCs/>
          <w:color w:val="auto"/>
          <w:kern w:val="2"/>
          <w:sz w:val="32"/>
          <w:szCs w:val="32"/>
          <w:highlight w:val="none"/>
          <w:lang w:val="en-US" w:eastAsia="zh-CN" w:bidi="ar-SA"/>
        </w:rPr>
      </w:pPr>
      <w:r>
        <w:rPr>
          <w:rFonts w:hint="eastAsia" w:ascii="仿宋_GB2312" w:hAnsi="Times New Roman" w:eastAsia="仿宋_GB2312" w:cs="Times New Roman"/>
          <w:b/>
          <w:bCs/>
          <w:color w:val="auto"/>
          <w:kern w:val="2"/>
          <w:sz w:val="32"/>
          <w:szCs w:val="32"/>
          <w:highlight w:val="none"/>
          <w:lang w:val="en-US" w:eastAsia="zh-CN" w:bidi="ar-SA"/>
        </w:rPr>
        <w:t>江苏东海农村商业银行股份有限公司利润表</w:t>
      </w:r>
    </w:p>
    <w:p>
      <w:pPr>
        <w:pStyle w:val="14"/>
        <w:spacing w:line="360" w:lineRule="auto"/>
        <w:jc w:val="center"/>
        <w:rPr>
          <w:rFonts w:hint="eastAsia" w:ascii="楷体_GB2312" w:hAnsi="仿宋_GB2312" w:eastAsia="楷体_GB2312"/>
          <w:color w:val="auto"/>
          <w:kern w:val="0"/>
          <w:sz w:val="24"/>
          <w:szCs w:val="24"/>
          <w:highlight w:val="none"/>
          <w:lang w:val="en-US" w:eastAsia="zh-CN"/>
        </w:rPr>
      </w:pPr>
      <w:r>
        <w:rPr>
          <w:rFonts w:hint="eastAsia" w:ascii="楷体_GB2312" w:hAnsi="仿宋_GB2312" w:eastAsia="楷体_GB2312"/>
          <w:color w:val="auto"/>
          <w:kern w:val="0"/>
          <w:sz w:val="24"/>
          <w:szCs w:val="24"/>
          <w:highlight w:val="none"/>
          <w:lang w:val="en-US" w:eastAsia="zh-CN"/>
        </w:rPr>
        <w:t xml:space="preserve">                  </w:t>
      </w:r>
      <w:r>
        <w:rPr>
          <w:rFonts w:ascii="楷体_GB2312" w:hAnsi="仿宋_GB2312" w:eastAsia="楷体_GB2312"/>
          <w:color w:val="auto"/>
          <w:kern w:val="0"/>
          <w:sz w:val="24"/>
          <w:szCs w:val="24"/>
          <w:highlight w:val="none"/>
        </w:rPr>
        <w:t>20</w:t>
      </w:r>
      <w:r>
        <w:rPr>
          <w:rFonts w:hint="eastAsia" w:ascii="楷体_GB2312" w:hAnsi="仿宋_GB2312" w:eastAsia="楷体_GB2312"/>
          <w:color w:val="auto"/>
          <w:kern w:val="0"/>
          <w:sz w:val="24"/>
          <w:szCs w:val="24"/>
          <w:highlight w:val="none"/>
        </w:rPr>
        <w:t>2</w:t>
      </w:r>
      <w:r>
        <w:rPr>
          <w:rFonts w:hint="eastAsia" w:ascii="楷体_GB2312" w:hAnsi="仿宋_GB2312" w:eastAsia="楷体_GB2312"/>
          <w:color w:val="auto"/>
          <w:kern w:val="0"/>
          <w:sz w:val="24"/>
          <w:szCs w:val="24"/>
          <w:highlight w:val="none"/>
          <w:lang w:val="en-US" w:eastAsia="zh-CN"/>
        </w:rPr>
        <w:t>6</w:t>
      </w:r>
      <w:r>
        <w:rPr>
          <w:rFonts w:ascii="楷体_GB2312" w:hAnsi="仿宋_GB2312" w:eastAsia="楷体_GB2312"/>
          <w:color w:val="auto"/>
          <w:kern w:val="0"/>
          <w:sz w:val="24"/>
          <w:szCs w:val="24"/>
          <w:highlight w:val="none"/>
        </w:rPr>
        <w:t>年</w:t>
      </w:r>
      <w:r>
        <w:rPr>
          <w:rFonts w:hint="eastAsia" w:ascii="楷体_GB2312" w:hAnsi="仿宋_GB2312" w:eastAsia="楷体_GB2312"/>
          <w:color w:val="auto"/>
          <w:kern w:val="0"/>
          <w:sz w:val="24"/>
          <w:szCs w:val="24"/>
          <w:highlight w:val="none"/>
          <w:lang w:val="en-US" w:eastAsia="zh-CN"/>
        </w:rPr>
        <w:t>6</w:t>
      </w:r>
      <w:r>
        <w:rPr>
          <w:rFonts w:ascii="楷体_GB2312" w:hAnsi="仿宋_GB2312" w:eastAsia="楷体_GB2312"/>
          <w:color w:val="auto"/>
          <w:kern w:val="0"/>
          <w:sz w:val="24"/>
          <w:szCs w:val="24"/>
          <w:highlight w:val="none"/>
        </w:rPr>
        <w:t>月3</w:t>
      </w:r>
      <w:r>
        <w:rPr>
          <w:rFonts w:hint="eastAsia" w:ascii="楷体_GB2312" w:hAnsi="仿宋_GB2312" w:eastAsia="楷体_GB2312"/>
          <w:color w:val="auto"/>
          <w:kern w:val="0"/>
          <w:sz w:val="24"/>
          <w:szCs w:val="24"/>
          <w:highlight w:val="none"/>
          <w:lang w:val="en-US" w:eastAsia="zh-CN"/>
        </w:rPr>
        <w:t>0</w:t>
      </w:r>
      <w:r>
        <w:rPr>
          <w:rFonts w:ascii="楷体_GB2312" w:hAnsi="仿宋_GB2312" w:eastAsia="楷体_GB2312"/>
          <w:color w:val="auto"/>
          <w:kern w:val="0"/>
          <w:sz w:val="24"/>
          <w:szCs w:val="24"/>
          <w:highlight w:val="none"/>
        </w:rPr>
        <w:t>日</w:t>
      </w:r>
      <w:r>
        <w:rPr>
          <w:rFonts w:hint="eastAsia" w:ascii="楷体_GB2312" w:hAnsi="仿宋_GB2312" w:eastAsia="楷体_GB2312"/>
          <w:color w:val="auto"/>
          <w:kern w:val="0"/>
          <w:sz w:val="24"/>
          <w:szCs w:val="24"/>
          <w:highlight w:val="none"/>
          <w:lang w:val="en-US" w:eastAsia="zh-CN"/>
        </w:rPr>
        <w:t xml:space="preserve">            单位：元</w:t>
      </w:r>
    </w:p>
    <w:tbl>
      <w:tblPr>
        <w:tblStyle w:val="27"/>
        <w:tblW w:w="827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096"/>
        <w:gridCol w:w="2090"/>
        <w:gridCol w:w="209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34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项目名称</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上年同期</w:t>
            </w:r>
          </w:p>
        </w:tc>
        <w:tc>
          <w:tcPr>
            <w:tcW w:w="15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本年累计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一、营业收入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588907356.23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582770143.21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6011利息收入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391836111.21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370702895.74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1.农户贷款利息收入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318302688.03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295224116.86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2.农村经济组织贷款利息收入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1722535.45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2713171.23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3.农村企业贷款利息收入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24409923.49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29951929.27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4.非农贷款利息收入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45636323.00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41083199.99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5.信用卡透支利息收入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1764641.24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1727563.95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6.贴现利息收入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2914.44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7.贸易融资利息收入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8.垫款利息收入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9.已减值贷款利息收入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10.其他利息收入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6012金融机构往来收入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39582544.53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42321712.81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1.存放中央银行款项利息收入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10894890.27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11407963.44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2.存放同业款利息收入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3397621.15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3613803.78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3.存放系统内款项利息收入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262491.75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288784.66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4.拆放同业款利息收入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6417549.95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16058539.21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5.拆放系统内款项利息收入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1607757.16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321721.28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6.存出保证金利息收入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7.买入返售金融资产利息收入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1564948.50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159002.74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8.转（再）贴现利息收入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15437285.75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10471897.70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9.其他</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6021手续费及佣金收入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7151814.75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8658784.92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1.银行卡业务手续费收入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572598.47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717077.51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2.结算业务手续费收入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1282690.05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77440.59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3.外汇业务手续费收入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4.代理业务手续费收入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219789.98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1160871.49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5.担保手续费收入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6.账户管理费收入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20388.20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7.其他</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5076736.25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6683007.13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6051其他业务收入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331087.16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378706.20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1.投资性房地产租赁收入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2.抵债资产租赁收入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95238.10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142857.14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3.管理费收入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4.政府补助收入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5.其他服务收入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235849.06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235849.06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6.其他</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6061汇兑损益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新宋体" w:hAnsi="新宋体" w:eastAsia="新宋体" w:cs="新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1.代客外汇买卖损益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2.自营外汇买卖损益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3.其他</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6101公允价值变动损益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1918627.83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-36466.02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1.交易性金融资产公允价值变动损益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1918627.83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-36466.02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2.交易性金融负债公允价值变动损益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3.衍生金融工具公允价值变动损益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4.其他</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6111投资收益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147565393.04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160588941.69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1.债券利息收入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83984657.52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80928822.09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2.投资买卖差价</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17936701.57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50005911.71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3.股利</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39912015.58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17753421.83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4.其他</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5732018.37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11900786.06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6115资产处置收益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36360.02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新宋体" w:hAnsi="新宋体" w:eastAsia="新宋体" w:cs="新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6117其他收益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485417.69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155567.87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1.政府补贴</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338765.24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新宋体" w:hAnsi="新宋体" w:eastAsia="新宋体" w:cs="新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2.其他收益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146652.45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155567.87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二、营业支出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351237067.28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376064007.15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6411利息支出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180855686.51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155093989.50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1.单位活期存款利息支出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1013111.35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374105.32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2.单位定期存款利息支出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17693951.47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13358369.32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3.个人活期存款利息支出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421394.05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212710.79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4.个人定期存款利息支出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158548518.63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139857513.07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5.财政性存款利息支出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8972.74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12618.82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6.保证金存款利息支出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7551.60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4916.25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7.其他利息支出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3162186.67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1273755.93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6412金融机构往来支出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869412.68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2882816.36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1.向中央银行借款利息支出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622242.03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2278442.96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2.系统内上存款项利息支出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363.89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3.系统内拆入款项利息支出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4.同业存放款利息支出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2896.67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3110.96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5.同业拆入款项利息支出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6.卖出回购金融资产利息支出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244273.98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600898.55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7.转贴现利息支出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8.其他</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6421手续费及佣金支出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5082208.15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4791382.69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1.银行卡业务手续费支出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199404.11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427299.95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2.结算业务手续费支出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387460.19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645472.89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3.代理业务手续费支出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563906.82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391374.00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4.其他手续费支出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327303.50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434432.76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5.其他中间业务支出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3604133.53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2892803.09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6601业务及管理费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106950882.22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109871468.91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1.业务宣传费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6810783.47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5346633.05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2.广告费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449000.00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390000.00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3.印刷费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250069.70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218869.30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4.业务招待费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2087798.20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1084883.79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5.电子设备运转费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419539.28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526480.00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6.钞币运送费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2287200.00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2388050.00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7.安全保卫费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378484.50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408289.20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8.保险费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3991097.87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4396324.03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9.邮电费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886179.42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3911008.29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10.诉讼费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11.公证费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218620.00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12.咨询费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334693.92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79150.99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13.审计费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19000.00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39000.00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14.监管费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15.技术转让费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16.研究开发费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17.外事费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18.公杂费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1020977.76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685315.03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19.差旅费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132998.46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140153.32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20.水电费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927235.18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852804.44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21.会议费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21800.00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22252.00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22.绿化费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19325.00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9910.00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23.理（董）事会费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24.会费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55000.00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25.税费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26.交通工具耗用费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351863.12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275886.68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27.开办费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28.管理费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2941482.42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5346073.42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29.物业费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12616.00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15619.00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30.股权管理费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34166.00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31.职工工资</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42110900.47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43965932.54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32.职工福利费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5812670.05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5014205.65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33.职工教育经费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542114.29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583522.61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34.工会经费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1237362.05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1207369.95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35.劳动保护费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1000.00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36.基本养老保险金</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7204550.04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7262887.84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37.基本医疗保险金</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3169813.70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3195885.43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38.工伤保险金</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108072.31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108942.66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39.生育保险金</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450230.32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453930.49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40.失业保险金</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90544.56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226971.97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41.补充养老保险金</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42.补充医疗保险金</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43.股份支付</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44.辞退福利</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45.非货币性福利</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46.住房公积金</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5989854.00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5578821.00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47.劳务费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3131401.43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2731779.82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48.党组织工作经费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53474.50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14803.60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49.租赁费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1500.00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8600.00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50.修理费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314141.28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425918.52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51.低值易耗品摊销</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452243.00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603647.30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52.长期待摊费用摊销</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5392361.90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4990907.76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53.无形资产摊销</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1730095.00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1668071.08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54.固定资产折旧费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4456003.75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4050784.76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55.金融工具管理费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730807.56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368156.69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56.外部信息及系统使用权购置费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71181.95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460735.88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57.使用权资产折旧</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411065.40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418850.08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58.租赁负债利息支出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53629.52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40196.94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59.其他费用</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4554.84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5223.80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6602其他业务支出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新宋体" w:hAnsi="新宋体" w:eastAsia="新宋体" w:cs="新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1.抵债资产保管费用</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2.投资性房地产折旧及摊销</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3.投资性房地产维修费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4.租赁资产折旧及摊销</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5.租赁资产维修费</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6.其他</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6403税金及附加</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1695573.06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1610475.98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1.其他税金及附加</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1695573.06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1610475.98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6701资产减值损失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新宋体" w:hAnsi="新宋体" w:eastAsia="新宋体" w:cs="新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1.长期股权投资减值损失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2.投资性房地产减值损失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3.固定资产减值损失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4.使用权资产减值损失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5.在建工程减值损失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6.无形资产减值损失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7.抵债资产减值损失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8.贵金属跌价损失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9.其他</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6702信用减值损失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55783304.66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101813873.71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1.存放同业坏账损失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-5000000.00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2.拆出资金坏账损失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7341685.45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-389206.99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3.应收利息坏账损失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4.其他应收款坏账损失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5.农户贷款减值损失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177675355.71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98685789.35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6.农村经济组织贷款减值损失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-4102076.15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-2149182.07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7.农村企业贷款减值损失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-108211582.87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-14833806.71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8.非农贷款减值损失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-12854181.57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-13513779.37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9.信用卡透支损失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10442445.05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4792296.70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10.贴现资产损失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-5582498.73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-12530442.45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11.贸易融资损失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12.垫款损失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13.其他债权投资减值损失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1645050.81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46086409.10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14.债权投资减值损失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-9404945.61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1343158.93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pPr>
              <w:keepNext w:val="0"/>
              <w:keepLines w:val="0"/>
              <w:widowControl/>
              <w:suppressLineNumbers w:val="0"/>
              <w:jc w:val="left"/>
              <w:textAlignment w:val="bottom"/>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15.买入返售金融资产减值损失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-750000.00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16.表外风险资产信用损失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-415947.43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-677362.78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17.组合减值损失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18.其他信用风险资产减值损失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pPr>
              <w:jc w:val="left"/>
              <w:rPr>
                <w:rFonts w:hint="eastAsia" w:ascii="新宋体" w:hAnsi="新宋体" w:eastAsia="新宋体" w:cs="新宋体"/>
                <w:i w:val="0"/>
                <w:iCs w:val="0"/>
                <w:color w:val="auto"/>
                <w:sz w:val="20"/>
                <w:szCs w:val="20"/>
                <w:highlight w:val="none"/>
                <w:u w:val="none"/>
              </w:rPr>
            </w:pP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left"/>
              <w:rPr>
                <w:rFonts w:hint="eastAsia" w:ascii="新宋体" w:hAnsi="新宋体" w:eastAsia="新宋体" w:cs="新宋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left"/>
              <w:rPr>
                <w:rFonts w:hint="eastAsia" w:ascii="新宋体" w:hAnsi="新宋体" w:eastAsia="新宋体" w:cs="新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4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三、营业利润（净亏损以“-”号填列）</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kern w:val="0"/>
                <w:sz w:val="20"/>
                <w:szCs w:val="20"/>
                <w:highlight w:val="none"/>
                <w:u w:val="none"/>
                <w:lang w:val="en-US" w:eastAsia="zh-CN" w:bidi="ar"/>
              </w:rPr>
            </w:pPr>
            <w:r>
              <w:rPr>
                <w:rFonts w:hint="eastAsia" w:ascii="黑体" w:hAnsi="宋体" w:eastAsia="黑体" w:cs="黑体"/>
                <w:i w:val="0"/>
                <w:iCs w:val="0"/>
                <w:color w:val="auto"/>
                <w:kern w:val="0"/>
                <w:sz w:val="20"/>
                <w:szCs w:val="20"/>
                <w:highlight w:val="none"/>
                <w:u w:val="none"/>
                <w:lang w:val="en-US" w:eastAsia="zh-CN" w:bidi="ar"/>
              </w:rPr>
              <w:t xml:space="preserve">237670288.95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kern w:val="0"/>
                <w:sz w:val="20"/>
                <w:szCs w:val="20"/>
                <w:highlight w:val="none"/>
                <w:u w:val="none"/>
                <w:lang w:val="en-US" w:eastAsia="zh-CN" w:bidi="ar"/>
              </w:rPr>
            </w:pPr>
            <w:r>
              <w:rPr>
                <w:rFonts w:hint="eastAsia" w:ascii="黑体" w:hAnsi="宋体" w:eastAsia="黑体" w:cs="黑体"/>
                <w:i w:val="0"/>
                <w:iCs w:val="0"/>
                <w:color w:val="auto"/>
                <w:kern w:val="0"/>
                <w:sz w:val="20"/>
                <w:szCs w:val="20"/>
                <w:highlight w:val="none"/>
                <w:u w:val="none"/>
                <w:lang w:val="en-US" w:eastAsia="zh-CN" w:bidi="ar"/>
              </w:rPr>
              <w:t xml:space="preserve">206706136.06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加：6301营业外收入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180627.04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823355.04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1.资产清理收益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2.抵债资产处置收入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3.长款收入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4.罚没款收入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155268.00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528467.00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5.政府补贴</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444.66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6.债务重组收益</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7.捐赠利得</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8.久悬未取款项收入</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24914.38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286749.39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9.其他</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8138.65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减：6711营业外支出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602867.05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1342179.20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1.抵债资产处置损失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2.非常损失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3.资产盘亏及清理损失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4.使用权资产处置损失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5.出纳结算赔款</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6.罚没支出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1200000.00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7.久悬未取款项支出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37666.13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44944.14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8.债务重组损失</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9.公益性捐赠支出</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76342.00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10.其他</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565200.92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20893.06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以前年度损益调整</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四、利润总额（净亏损以“-”号填列）</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kern w:val="0"/>
                <w:sz w:val="20"/>
                <w:szCs w:val="20"/>
                <w:highlight w:val="none"/>
                <w:u w:val="none"/>
                <w:lang w:val="en-US" w:eastAsia="zh-CN" w:bidi="ar"/>
              </w:rPr>
            </w:pPr>
            <w:r>
              <w:rPr>
                <w:rFonts w:hint="eastAsia" w:ascii="黑体" w:hAnsi="宋体" w:eastAsia="黑体" w:cs="黑体"/>
                <w:i w:val="0"/>
                <w:iCs w:val="0"/>
                <w:color w:val="auto"/>
                <w:kern w:val="0"/>
                <w:sz w:val="20"/>
                <w:szCs w:val="20"/>
                <w:highlight w:val="none"/>
                <w:u w:val="none"/>
                <w:lang w:val="en-US" w:eastAsia="zh-CN" w:bidi="ar"/>
              </w:rPr>
              <w:t xml:space="preserve">237248048.94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kern w:val="0"/>
                <w:sz w:val="20"/>
                <w:szCs w:val="20"/>
                <w:highlight w:val="none"/>
                <w:u w:val="none"/>
                <w:lang w:val="en-US" w:eastAsia="zh-CN" w:bidi="ar"/>
              </w:rPr>
            </w:pPr>
            <w:r>
              <w:rPr>
                <w:rFonts w:hint="eastAsia" w:ascii="黑体" w:hAnsi="宋体" w:eastAsia="黑体" w:cs="黑体"/>
                <w:i w:val="0"/>
                <w:iCs w:val="0"/>
                <w:color w:val="auto"/>
                <w:kern w:val="0"/>
                <w:sz w:val="20"/>
                <w:szCs w:val="20"/>
                <w:highlight w:val="none"/>
                <w:u w:val="none"/>
                <w:lang w:val="en-US" w:eastAsia="zh-CN" w:bidi="ar"/>
              </w:rPr>
              <w:t xml:space="preserve">206187311.90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减：6801所得税费用</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kern w:val="0"/>
                <w:sz w:val="20"/>
                <w:szCs w:val="20"/>
                <w:highlight w:val="none"/>
                <w:u w:val="none"/>
                <w:lang w:val="en-US" w:eastAsia="zh-CN" w:bidi="ar"/>
              </w:rPr>
            </w:pPr>
            <w:r>
              <w:rPr>
                <w:rFonts w:hint="eastAsia" w:ascii="黑体" w:hAnsi="宋体" w:eastAsia="黑体" w:cs="黑体"/>
                <w:i w:val="0"/>
                <w:iCs w:val="0"/>
                <w:color w:val="auto"/>
                <w:kern w:val="0"/>
                <w:sz w:val="20"/>
                <w:szCs w:val="20"/>
                <w:highlight w:val="none"/>
                <w:u w:val="none"/>
                <w:lang w:val="en-US" w:eastAsia="zh-CN" w:bidi="ar"/>
              </w:rPr>
              <w:t xml:space="preserve">58788081.05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kern w:val="0"/>
                <w:sz w:val="20"/>
                <w:szCs w:val="20"/>
                <w:highlight w:val="none"/>
                <w:u w:val="none"/>
                <w:lang w:val="en-US" w:eastAsia="zh-CN" w:bidi="ar"/>
              </w:rPr>
            </w:pPr>
            <w:r>
              <w:rPr>
                <w:rFonts w:hint="eastAsia" w:ascii="黑体" w:hAnsi="宋体" w:eastAsia="黑体" w:cs="黑体"/>
                <w:i w:val="0"/>
                <w:iCs w:val="0"/>
                <w:color w:val="auto"/>
                <w:kern w:val="0"/>
                <w:sz w:val="20"/>
                <w:szCs w:val="20"/>
                <w:highlight w:val="none"/>
                <w:u w:val="none"/>
                <w:lang w:val="en-US" w:eastAsia="zh-CN" w:bidi="ar"/>
              </w:rPr>
              <w:t xml:space="preserve">26334949.73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1.当期所得税费用</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kern w:val="0"/>
                <w:sz w:val="20"/>
                <w:szCs w:val="20"/>
                <w:highlight w:val="none"/>
                <w:u w:val="none"/>
                <w:lang w:val="en-US" w:eastAsia="zh-CN" w:bidi="ar"/>
              </w:rPr>
            </w:pPr>
            <w:r>
              <w:rPr>
                <w:rFonts w:hint="eastAsia" w:ascii="黑体" w:hAnsi="宋体" w:eastAsia="黑体" w:cs="黑体"/>
                <w:i w:val="0"/>
                <w:iCs w:val="0"/>
                <w:color w:val="auto"/>
                <w:kern w:val="0"/>
                <w:sz w:val="20"/>
                <w:szCs w:val="20"/>
                <w:highlight w:val="none"/>
                <w:u w:val="none"/>
                <w:lang w:val="en-US" w:eastAsia="zh-CN" w:bidi="ar"/>
              </w:rPr>
              <w:t xml:space="preserve">58720266.05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kern w:val="0"/>
                <w:sz w:val="20"/>
                <w:szCs w:val="20"/>
                <w:highlight w:val="none"/>
                <w:u w:val="none"/>
                <w:lang w:val="en-US" w:eastAsia="zh-CN" w:bidi="ar"/>
              </w:rPr>
            </w:pPr>
            <w:r>
              <w:rPr>
                <w:rFonts w:hint="eastAsia" w:ascii="黑体" w:hAnsi="宋体" w:eastAsia="黑体" w:cs="黑体"/>
                <w:i w:val="0"/>
                <w:iCs w:val="0"/>
                <w:color w:val="auto"/>
                <w:kern w:val="0"/>
                <w:sz w:val="20"/>
                <w:szCs w:val="20"/>
                <w:highlight w:val="none"/>
                <w:u w:val="none"/>
                <w:lang w:val="en-US" w:eastAsia="zh-CN" w:bidi="ar"/>
              </w:rPr>
              <w:t xml:space="preserve">19228515.35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2.递延所得税费用</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kern w:val="0"/>
                <w:sz w:val="20"/>
                <w:szCs w:val="20"/>
                <w:highlight w:val="none"/>
                <w:u w:val="none"/>
                <w:lang w:val="en-US" w:eastAsia="zh-CN" w:bidi="ar"/>
              </w:rPr>
            </w:pPr>
            <w:r>
              <w:rPr>
                <w:rFonts w:hint="eastAsia" w:ascii="黑体" w:hAnsi="宋体" w:eastAsia="黑体" w:cs="黑体"/>
                <w:i w:val="0"/>
                <w:iCs w:val="0"/>
                <w:color w:val="auto"/>
                <w:kern w:val="0"/>
                <w:sz w:val="20"/>
                <w:szCs w:val="20"/>
                <w:highlight w:val="none"/>
                <w:u w:val="none"/>
                <w:lang w:val="en-US" w:eastAsia="zh-CN" w:bidi="ar"/>
              </w:rPr>
              <w:t xml:space="preserve">67815.00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kern w:val="0"/>
                <w:sz w:val="20"/>
                <w:szCs w:val="20"/>
                <w:highlight w:val="none"/>
                <w:u w:val="none"/>
                <w:lang w:val="en-US" w:eastAsia="zh-CN" w:bidi="ar"/>
              </w:rPr>
            </w:pPr>
            <w:r>
              <w:rPr>
                <w:rFonts w:hint="eastAsia" w:ascii="黑体" w:hAnsi="宋体" w:eastAsia="黑体" w:cs="黑体"/>
                <w:i w:val="0"/>
                <w:iCs w:val="0"/>
                <w:color w:val="auto"/>
                <w:kern w:val="0"/>
                <w:sz w:val="20"/>
                <w:szCs w:val="20"/>
                <w:highlight w:val="none"/>
                <w:u w:val="none"/>
                <w:lang w:val="en-US" w:eastAsia="zh-CN" w:bidi="ar"/>
              </w:rPr>
              <w:t xml:space="preserve">7106434.38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b/>
                <w:bCs/>
                <w:i w:val="0"/>
                <w:iCs w:val="0"/>
                <w:color w:val="auto"/>
                <w:sz w:val="20"/>
                <w:szCs w:val="20"/>
                <w:highlight w:val="none"/>
                <w:u w:val="none"/>
              </w:rPr>
            </w:pPr>
            <w:r>
              <w:rPr>
                <w:rFonts w:hint="eastAsia" w:ascii="新宋体" w:hAnsi="新宋体" w:eastAsia="新宋体" w:cs="新宋体"/>
                <w:b/>
                <w:bCs/>
                <w:i w:val="0"/>
                <w:iCs w:val="0"/>
                <w:color w:val="auto"/>
                <w:kern w:val="0"/>
                <w:sz w:val="20"/>
                <w:szCs w:val="20"/>
                <w:highlight w:val="none"/>
                <w:u w:val="none"/>
                <w:lang w:val="en-US" w:eastAsia="zh-CN" w:bidi="ar"/>
              </w:rPr>
              <w:t>五、净利润（净亏损以“-”号填列）</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kern w:val="0"/>
                <w:sz w:val="20"/>
                <w:szCs w:val="20"/>
                <w:highlight w:val="none"/>
                <w:u w:val="none"/>
                <w:lang w:val="en-US" w:eastAsia="zh-CN" w:bidi="ar"/>
              </w:rPr>
            </w:pPr>
            <w:r>
              <w:rPr>
                <w:rFonts w:hint="eastAsia" w:ascii="黑体" w:hAnsi="宋体" w:eastAsia="黑体" w:cs="黑体"/>
                <w:i w:val="0"/>
                <w:iCs w:val="0"/>
                <w:color w:val="auto"/>
                <w:kern w:val="0"/>
                <w:sz w:val="20"/>
                <w:szCs w:val="20"/>
                <w:highlight w:val="none"/>
                <w:u w:val="none"/>
                <w:lang w:val="en-US" w:eastAsia="zh-CN" w:bidi="ar"/>
              </w:rPr>
              <w:t xml:space="preserve">178459967.89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kern w:val="0"/>
                <w:sz w:val="20"/>
                <w:szCs w:val="20"/>
                <w:highlight w:val="none"/>
                <w:u w:val="none"/>
                <w:lang w:val="en-US" w:eastAsia="zh-CN" w:bidi="ar"/>
              </w:rPr>
            </w:pPr>
            <w:r>
              <w:rPr>
                <w:rFonts w:hint="eastAsia" w:ascii="黑体" w:hAnsi="宋体" w:eastAsia="黑体" w:cs="黑体"/>
                <w:i w:val="0"/>
                <w:iCs w:val="0"/>
                <w:color w:val="auto"/>
                <w:kern w:val="0"/>
                <w:sz w:val="20"/>
                <w:szCs w:val="20"/>
                <w:highlight w:val="none"/>
                <w:u w:val="none"/>
                <w:lang w:val="en-US" w:eastAsia="zh-CN" w:bidi="ar"/>
              </w:rPr>
              <w:t xml:space="preserve">179852362.17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   盈余行（社）数（个）</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1.00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   盈余金额</w:t>
            </w:r>
          </w:p>
        </w:tc>
        <w:tc>
          <w:tcPr>
            <w:tcW w:w="190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237248048.94 </w:t>
            </w:r>
          </w:p>
        </w:tc>
        <w:tc>
          <w:tcPr>
            <w:tcW w:w="19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eastAsia" w:ascii="黑体" w:hAnsi="宋体" w:eastAsia="黑体" w:cs="黑体"/>
                <w:i w:val="0"/>
                <w:iCs w:val="0"/>
                <w:color w:val="auto"/>
                <w:sz w:val="20"/>
                <w:szCs w:val="20"/>
                <w:highlight w:val="none"/>
                <w:u w:val="none"/>
              </w:rPr>
            </w:pPr>
            <w:r>
              <w:rPr>
                <w:rFonts w:hint="eastAsia" w:ascii="黑体" w:hAnsi="宋体" w:eastAsia="黑体" w:cs="黑体"/>
                <w:i w:val="0"/>
                <w:iCs w:val="0"/>
                <w:color w:val="auto"/>
                <w:kern w:val="0"/>
                <w:sz w:val="20"/>
                <w:szCs w:val="20"/>
                <w:highlight w:val="none"/>
                <w:u w:val="none"/>
                <w:lang w:val="en-US" w:eastAsia="zh-CN" w:bidi="ar"/>
              </w:rPr>
              <w:t xml:space="preserve">206187311.90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   亏损行（社）数（个）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新宋体" w:hAnsi="新宋体" w:eastAsia="新宋体" w:cs="新宋体"/>
                <w:i w:val="0"/>
                <w:iCs w:val="0"/>
                <w:color w:val="auto"/>
                <w:sz w:val="20"/>
                <w:szCs w:val="20"/>
                <w:highlight w:val="none"/>
                <w:u w:val="none"/>
              </w:rPr>
            </w:pPr>
            <w:r>
              <w:rPr>
                <w:rFonts w:hint="eastAsia" w:ascii="新宋体" w:hAnsi="新宋体" w:eastAsia="新宋体" w:cs="新宋体"/>
                <w:i w:val="0"/>
                <w:iCs w:val="0"/>
                <w:color w:val="auto"/>
                <w:kern w:val="0"/>
                <w:sz w:val="20"/>
                <w:szCs w:val="20"/>
                <w:highlight w:val="none"/>
                <w:u w:val="none"/>
                <w:lang w:val="en-US" w:eastAsia="zh-CN" w:bidi="ar"/>
              </w:rPr>
              <w:t xml:space="preserve">   亏损金额</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right"/>
              <w:rPr>
                <w:rFonts w:hint="eastAsia" w:ascii="黑体" w:hAnsi="宋体" w:eastAsia="黑体" w:cs="黑体"/>
                <w:i w:val="0"/>
                <w:iCs w:val="0"/>
                <w:color w:val="auto"/>
                <w:sz w:val="20"/>
                <w:szCs w:val="20"/>
                <w:highlight w:val="none"/>
                <w:u w:val="none"/>
              </w:rPr>
            </w:pPr>
          </w:p>
        </w:tc>
      </w:tr>
    </w:tbl>
    <w:p>
      <w:pPr>
        <w:pStyle w:val="14"/>
        <w:keepNext w:val="0"/>
        <w:keepLines w:val="0"/>
        <w:pageBreakBefore w:val="0"/>
        <w:widowControl w:val="0"/>
        <w:numPr>
          <w:ilvl w:val="0"/>
          <w:numId w:val="1"/>
        </w:numPr>
        <w:kinsoku/>
        <w:wordWrap/>
        <w:overflowPunct/>
        <w:topLinePunct w:val="0"/>
        <w:bidi w:val="0"/>
        <w:snapToGrid/>
        <w:spacing w:line="560" w:lineRule="exact"/>
        <w:ind w:firstLine="640" w:firstLineChars="200"/>
        <w:textAlignment w:val="auto"/>
        <w:rPr>
          <w:rFonts w:hint="eastAsia" w:ascii="黑体" w:hAnsi="黑体" w:eastAsia="黑体"/>
          <w:color w:val="auto"/>
          <w:kern w:val="0"/>
          <w:sz w:val="32"/>
          <w:szCs w:val="32"/>
          <w:highlight w:val="none"/>
          <w:lang w:eastAsia="zh-CN"/>
        </w:rPr>
      </w:pPr>
      <w:r>
        <w:rPr>
          <w:rFonts w:hint="eastAsia" w:ascii="黑体" w:hAnsi="黑体" w:eastAsia="黑体"/>
          <w:color w:val="auto"/>
          <w:kern w:val="0"/>
          <w:sz w:val="32"/>
          <w:szCs w:val="32"/>
          <w:highlight w:val="none"/>
          <w:lang w:eastAsia="zh-CN"/>
        </w:rPr>
        <w:t>现金流量表</w:t>
      </w:r>
    </w:p>
    <w:p>
      <w:pPr>
        <w:pStyle w:val="14"/>
        <w:keepNext w:val="0"/>
        <w:keepLines w:val="0"/>
        <w:pageBreakBefore w:val="0"/>
        <w:widowControl w:val="0"/>
        <w:kinsoku/>
        <w:wordWrap/>
        <w:autoSpaceDE/>
        <w:autoSpaceDN/>
        <w:bidi w:val="0"/>
        <w:adjustRightInd/>
        <w:snapToGrid/>
        <w:spacing w:line="560" w:lineRule="exact"/>
        <w:jc w:val="center"/>
        <w:textAlignment w:val="auto"/>
        <w:rPr>
          <w:rFonts w:hint="eastAsia" w:ascii="仿宋_GB2312" w:hAnsi="Times New Roman" w:eastAsia="仿宋_GB2312" w:cs="Times New Roman"/>
          <w:b/>
          <w:bCs/>
          <w:color w:val="auto"/>
          <w:kern w:val="2"/>
          <w:sz w:val="32"/>
          <w:szCs w:val="32"/>
          <w:highlight w:val="none"/>
          <w:lang w:val="en-US" w:eastAsia="zh-CN" w:bidi="ar-SA"/>
        </w:rPr>
      </w:pPr>
      <w:r>
        <w:rPr>
          <w:rFonts w:hint="eastAsia" w:ascii="黑体" w:hAnsi="黑体" w:eastAsia="黑体"/>
          <w:color w:val="auto"/>
          <w:kern w:val="0"/>
          <w:sz w:val="32"/>
          <w:szCs w:val="32"/>
          <w:highlight w:val="none"/>
          <w:lang w:val="en-US" w:eastAsia="zh-CN"/>
        </w:rPr>
        <w:t xml:space="preserve">   </w:t>
      </w:r>
      <w:r>
        <w:rPr>
          <w:rFonts w:hint="eastAsia" w:ascii="仿宋_GB2312" w:hAnsi="Times New Roman" w:eastAsia="仿宋_GB2312" w:cs="Times New Roman"/>
          <w:b/>
          <w:bCs/>
          <w:color w:val="auto"/>
          <w:kern w:val="2"/>
          <w:sz w:val="32"/>
          <w:szCs w:val="32"/>
          <w:highlight w:val="none"/>
          <w:lang w:val="en-US" w:eastAsia="zh-CN" w:bidi="ar-SA"/>
        </w:rPr>
        <w:t>江苏东海农村商业银行股份有限公司现金流量表</w:t>
      </w:r>
    </w:p>
    <w:p>
      <w:pPr>
        <w:pStyle w:val="14"/>
        <w:keepNext w:val="0"/>
        <w:keepLines w:val="0"/>
        <w:pageBreakBefore w:val="0"/>
        <w:widowControl w:val="0"/>
        <w:numPr>
          <w:ilvl w:val="0"/>
          <w:numId w:val="0"/>
        </w:numPr>
        <w:kinsoku/>
        <w:wordWrap/>
        <w:overflowPunct/>
        <w:topLinePunct w:val="0"/>
        <w:bidi w:val="0"/>
        <w:snapToGrid/>
        <w:spacing w:line="560" w:lineRule="exact"/>
        <w:textAlignment w:val="auto"/>
        <w:rPr>
          <w:rFonts w:hint="eastAsia" w:ascii="楷体_GB2312" w:hAnsi="仿宋_GB2312" w:eastAsia="楷体_GB2312"/>
          <w:color w:val="auto"/>
          <w:kern w:val="0"/>
          <w:sz w:val="24"/>
          <w:szCs w:val="24"/>
          <w:highlight w:val="none"/>
          <w:lang w:val="en-US" w:eastAsia="zh-CN"/>
        </w:rPr>
      </w:pPr>
      <w:r>
        <w:rPr>
          <w:rFonts w:hint="eastAsia" w:ascii="楷体_GB2312" w:hAnsi="仿宋_GB2312" w:eastAsia="楷体_GB2312"/>
          <w:color w:val="auto"/>
          <w:kern w:val="0"/>
          <w:sz w:val="28"/>
          <w:szCs w:val="28"/>
          <w:highlight w:val="none"/>
          <w:lang w:val="en-US" w:eastAsia="zh-CN"/>
        </w:rPr>
        <w:t xml:space="preserve">                     </w:t>
      </w:r>
      <w:r>
        <w:rPr>
          <w:rFonts w:ascii="楷体_GB2312" w:hAnsi="仿宋_GB2312" w:eastAsia="楷体_GB2312"/>
          <w:color w:val="auto"/>
          <w:kern w:val="0"/>
          <w:sz w:val="24"/>
          <w:szCs w:val="24"/>
          <w:highlight w:val="none"/>
        </w:rPr>
        <w:t>20</w:t>
      </w:r>
      <w:r>
        <w:rPr>
          <w:rFonts w:hint="eastAsia" w:ascii="楷体_GB2312" w:hAnsi="仿宋_GB2312" w:eastAsia="楷体_GB2312"/>
          <w:color w:val="auto"/>
          <w:kern w:val="0"/>
          <w:sz w:val="24"/>
          <w:szCs w:val="24"/>
          <w:highlight w:val="none"/>
          <w:lang w:val="en-US" w:eastAsia="zh-CN"/>
        </w:rPr>
        <w:t>26</w:t>
      </w:r>
      <w:r>
        <w:rPr>
          <w:rFonts w:ascii="楷体_GB2312" w:hAnsi="仿宋_GB2312" w:eastAsia="楷体_GB2312"/>
          <w:color w:val="auto"/>
          <w:kern w:val="0"/>
          <w:sz w:val="24"/>
          <w:szCs w:val="24"/>
          <w:highlight w:val="none"/>
        </w:rPr>
        <w:t>年</w:t>
      </w:r>
      <w:r>
        <w:rPr>
          <w:rFonts w:hint="eastAsia" w:ascii="楷体_GB2312" w:hAnsi="仿宋_GB2312" w:eastAsia="楷体_GB2312"/>
          <w:color w:val="auto"/>
          <w:kern w:val="0"/>
          <w:sz w:val="24"/>
          <w:szCs w:val="24"/>
          <w:highlight w:val="none"/>
          <w:lang w:val="en-US" w:eastAsia="zh-CN"/>
        </w:rPr>
        <w:t>6</w:t>
      </w:r>
      <w:r>
        <w:rPr>
          <w:rFonts w:ascii="楷体_GB2312" w:hAnsi="仿宋_GB2312" w:eastAsia="楷体_GB2312"/>
          <w:color w:val="auto"/>
          <w:kern w:val="0"/>
          <w:sz w:val="24"/>
          <w:szCs w:val="24"/>
          <w:highlight w:val="none"/>
        </w:rPr>
        <w:t>月3</w:t>
      </w:r>
      <w:r>
        <w:rPr>
          <w:rFonts w:hint="eastAsia" w:ascii="楷体_GB2312" w:hAnsi="仿宋_GB2312" w:eastAsia="楷体_GB2312"/>
          <w:color w:val="auto"/>
          <w:kern w:val="0"/>
          <w:sz w:val="24"/>
          <w:szCs w:val="24"/>
          <w:highlight w:val="none"/>
          <w:lang w:val="en-US" w:eastAsia="zh-CN"/>
        </w:rPr>
        <w:t>0</w:t>
      </w:r>
      <w:r>
        <w:rPr>
          <w:rFonts w:ascii="楷体_GB2312" w:hAnsi="仿宋_GB2312" w:eastAsia="楷体_GB2312"/>
          <w:color w:val="auto"/>
          <w:kern w:val="0"/>
          <w:sz w:val="24"/>
          <w:szCs w:val="24"/>
          <w:highlight w:val="none"/>
        </w:rPr>
        <w:t>日</w:t>
      </w:r>
      <w:r>
        <w:rPr>
          <w:rFonts w:hint="eastAsia" w:ascii="楷体_GB2312" w:hAnsi="仿宋_GB2312" w:eastAsia="楷体_GB2312"/>
          <w:color w:val="auto"/>
          <w:kern w:val="0"/>
          <w:sz w:val="24"/>
          <w:szCs w:val="24"/>
          <w:highlight w:val="none"/>
          <w:lang w:val="en-US" w:eastAsia="zh-CN"/>
        </w:rPr>
        <w:t xml:space="preserve">             单位：元</w:t>
      </w:r>
    </w:p>
    <w:tbl>
      <w:tblPr>
        <w:tblStyle w:val="27"/>
        <w:tblW w:w="87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56"/>
        <w:gridCol w:w="2333"/>
        <w:gridCol w:w="24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39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bookmarkStart w:id="22" w:name="OLE_LINK3" w:colFirst="0" w:colLast="2"/>
            <w:r>
              <w:rPr>
                <w:rFonts w:hint="eastAsia" w:ascii="宋体" w:hAnsi="宋体" w:eastAsia="宋体" w:cs="宋体"/>
                <w:i w:val="0"/>
                <w:iCs w:val="0"/>
                <w:color w:val="auto"/>
                <w:kern w:val="0"/>
                <w:sz w:val="18"/>
                <w:szCs w:val="18"/>
                <w:highlight w:val="none"/>
                <w:u w:val="none"/>
                <w:lang w:val="en-US" w:eastAsia="zh-CN" w:bidi="ar"/>
              </w:rPr>
              <w:t>项</w:t>
            </w:r>
            <w:r>
              <w:rPr>
                <w:rFonts w:hint="default" w:ascii="Times New Roman" w:hAnsi="Times New Roman" w:eastAsia="宋体" w:cs="Times New Roman"/>
                <w:i w:val="0"/>
                <w:iCs w:val="0"/>
                <w:color w:val="auto"/>
                <w:kern w:val="0"/>
                <w:sz w:val="18"/>
                <w:szCs w:val="18"/>
                <w:highlight w:val="none"/>
                <w:u w:val="none"/>
                <w:lang w:val="en-US" w:eastAsia="zh-CN" w:bidi="ar"/>
              </w:rPr>
              <w:t xml:space="preserve">       </w:t>
            </w:r>
            <w:r>
              <w:rPr>
                <w:rFonts w:hint="eastAsia" w:ascii="宋体" w:hAnsi="宋体" w:eastAsia="宋体" w:cs="宋体"/>
                <w:i w:val="0"/>
                <w:iCs w:val="0"/>
                <w:color w:val="auto"/>
                <w:kern w:val="0"/>
                <w:sz w:val="18"/>
                <w:szCs w:val="18"/>
                <w:highlight w:val="none"/>
                <w:u w:val="none"/>
                <w:lang w:val="en-US" w:eastAsia="zh-CN" w:bidi="ar"/>
              </w:rPr>
              <w:t>目</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本期金额</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上期金额（同期）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一、经营活动产生的现金流量：</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default" w:ascii="Times New Roman" w:hAnsi="Times New Roman" w:cs="Times New Roman"/>
                <w:i w:val="0"/>
                <w:iCs w:val="0"/>
                <w:color w:val="auto"/>
                <w:sz w:val="18"/>
                <w:szCs w:val="18"/>
                <w:highlight w:val="none"/>
                <w:u w:val="none"/>
              </w:rPr>
            </w:pP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default" w:ascii="Times New Roman" w:hAnsi="Times New Roman" w:cs="Times New Roman"/>
                <w:i w:val="0"/>
                <w:iCs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客户存款和同业存放款项净增加额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1,591,483,276.76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1,769,301,721.56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向中央银行借款净增加额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244,500,000.00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存放中央银行和其他金融机构净减少额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拆入资金净增加额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拆出资金净减少额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200,000,000.00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600,000,000.00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回购业务资金净增加额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50,000,000.00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收取利息、手续费及佣金的现金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421,540,452.95 </w:t>
            </w:r>
          </w:p>
        </w:tc>
        <w:tc>
          <w:tcPr>
            <w:tcW w:w="24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446,537,880.19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收到其他与经营活动有关的现金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1,580,319.93 </w:t>
            </w:r>
          </w:p>
        </w:tc>
        <w:tc>
          <w:tcPr>
            <w:tcW w:w="24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1,021,333.62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经营活动现金流入小计</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2,459,104,049.64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2,866,860,935.37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客户贷款及垫款净增加额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1,026,915,815.90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576,048,294.81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向中央银行借款净减少额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110,000,000.00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存放中央银行和同业款项净增加额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334,868,511.42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54,570,141.31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为交易目的而持有的金融资产净增加额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拆出资金净增加额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回购业务资金净减少额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支付利息、手续费及佣金的现金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257,063,664.23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269,222,086.78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支付给职工及为职工支付的现金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91,409,606.02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88,915,676.97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支付的各项税费</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330,191.52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50,577,585.32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支付其他与经营活动有关的现金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56,703,692.24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60,574,521.24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经营活动现金流出小计</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1,767,291,481.33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1,209,908,306.43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w:t>
            </w:r>
            <w:r>
              <w:rPr>
                <w:rFonts w:hint="eastAsia" w:ascii="宋体" w:hAnsi="宋体" w:eastAsia="宋体" w:cs="宋体"/>
                <w:i w:val="0"/>
                <w:iCs w:val="0"/>
                <w:color w:val="auto"/>
                <w:kern w:val="0"/>
                <w:sz w:val="18"/>
                <w:szCs w:val="18"/>
                <w:highlight w:val="none"/>
                <w:u w:val="none"/>
                <w:lang w:val="en-US" w:eastAsia="zh-CN" w:bidi="ar"/>
              </w:rPr>
              <w:t>经营活动产生的现金流量净额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691,812,568.32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1,656,952,628.94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二、投资活动产生的现金流量：</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default" w:ascii="Times New Roman" w:hAnsi="Times New Roman" w:cs="Times New Roman"/>
                <w:i w:val="0"/>
                <w:iCs w:val="0"/>
                <w:color w:val="auto"/>
                <w:sz w:val="18"/>
                <w:szCs w:val="18"/>
                <w:highlight w:val="none"/>
                <w:u w:val="none"/>
              </w:rPr>
            </w:pP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default" w:ascii="Times New Roman" w:hAnsi="Times New Roman" w:cs="Times New Roman"/>
                <w:i w:val="0"/>
                <w:iCs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收回投资收到的现金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910,143,571.75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取得投资收益收到的现金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181,589,761.14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152,939,966.78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处置固定资产、无形资产和其他长期资产取得的现金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44,466.02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投资活动现金流入小计</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181,589,761.14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1,063,128,004.55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购建固定资产、无形资产和其他长期资产支付的现金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1,693,577.70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6,167,970.68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投资支付的现金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189,868,287.73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422,165,259.64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投资活动现金流出小计</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191,561,865.43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428,333,230.32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w:t>
            </w:r>
            <w:r>
              <w:rPr>
                <w:rFonts w:hint="eastAsia" w:ascii="宋体" w:hAnsi="宋体" w:eastAsia="宋体" w:cs="宋体"/>
                <w:i w:val="0"/>
                <w:iCs w:val="0"/>
                <w:color w:val="auto"/>
                <w:kern w:val="0"/>
                <w:sz w:val="18"/>
                <w:szCs w:val="18"/>
                <w:highlight w:val="none"/>
                <w:u w:val="none"/>
                <w:lang w:val="en-US" w:eastAsia="zh-CN" w:bidi="ar"/>
              </w:rPr>
              <w:t>投资活动产生的现金流量净额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-9,972,104.29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634,794,774.23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三、筹资活动产生的现金流量：</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default" w:ascii="Times New Roman" w:hAnsi="Times New Roman" w:cs="Times New Roman"/>
                <w:i w:val="0"/>
                <w:iCs w:val="0"/>
                <w:color w:val="auto"/>
                <w:sz w:val="18"/>
                <w:szCs w:val="18"/>
                <w:highlight w:val="none"/>
                <w:u w:val="none"/>
              </w:rPr>
            </w:pP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default" w:ascii="Times New Roman" w:hAnsi="Times New Roman" w:cs="Times New Roman"/>
                <w:i w:val="0"/>
                <w:iCs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吸收投资所收到现金</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发行债券收到的现金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筹资活动现金流入小计</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分配股利或利润所支付的现金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16,291.94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1,402,964.51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支付其他与筹资活动有关的现金</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筹资活动现金流出小计</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16,291.94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1,402,964.51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筹资活动产生的现金流量净额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-16,291.94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-1,402,964.51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四、汇率变动对现金的影响</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default" w:ascii="Times New Roman" w:hAnsi="Times New Roman" w:cs="Times New Roman"/>
                <w:i w:val="0"/>
                <w:iCs w:val="0"/>
                <w:color w:val="auto"/>
                <w:sz w:val="18"/>
                <w:szCs w:val="18"/>
                <w:highlight w:val="none"/>
                <w:u w:val="none"/>
              </w:rPr>
            </w:pP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default" w:ascii="Times New Roman" w:hAnsi="Times New Roman" w:cs="Times New Roman"/>
                <w:i w:val="0"/>
                <w:iCs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五、现金及现金等价物净增加额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681,824,172.09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2,290,344,438.66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加：期初现金及现金等价物余额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722,027,746.88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867,016,152.31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六、期末现金及现金等价物余额</w:t>
            </w:r>
          </w:p>
        </w:tc>
        <w:tc>
          <w:tcPr>
            <w:tcW w:w="23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1,403,851,918.97 </w:t>
            </w:r>
          </w:p>
        </w:tc>
        <w:tc>
          <w:tcPr>
            <w:tcW w:w="24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Times New Roman" w:hAnsi="Times New Roman"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 xml:space="preserve"> 3,157,360,590.97 </w:t>
            </w:r>
          </w:p>
        </w:tc>
      </w:tr>
      <w:bookmarkEnd w:id="22"/>
    </w:tbl>
    <w:p>
      <w:pPr>
        <w:pStyle w:val="14"/>
        <w:keepNext w:val="0"/>
        <w:keepLines w:val="0"/>
        <w:pageBreakBefore w:val="0"/>
        <w:widowControl w:val="0"/>
        <w:kinsoku/>
        <w:wordWrap/>
        <w:overflowPunct/>
        <w:topLinePunct w:val="0"/>
        <w:bidi w:val="0"/>
        <w:snapToGrid/>
        <w:spacing w:line="560" w:lineRule="exact"/>
        <w:ind w:firstLine="640" w:firstLineChars="200"/>
        <w:textAlignment w:val="auto"/>
        <w:rPr>
          <w:rFonts w:ascii="黑体" w:hAnsi="黑体" w:eastAsia="黑体"/>
          <w:color w:val="auto"/>
          <w:kern w:val="0"/>
          <w:sz w:val="32"/>
          <w:szCs w:val="32"/>
          <w:highlight w:val="none"/>
        </w:rPr>
      </w:pPr>
      <w:r>
        <w:rPr>
          <w:rFonts w:hint="eastAsia" w:ascii="黑体" w:hAnsi="黑体" w:eastAsia="黑体"/>
          <w:color w:val="auto"/>
          <w:kern w:val="0"/>
          <w:sz w:val="32"/>
          <w:szCs w:val="32"/>
          <w:highlight w:val="none"/>
          <w:lang w:eastAsia="zh-CN"/>
        </w:rPr>
        <w:t>四、</w:t>
      </w:r>
      <w:r>
        <w:rPr>
          <w:rFonts w:ascii="黑体" w:hAnsi="黑体" w:eastAsia="黑体"/>
          <w:color w:val="auto"/>
          <w:kern w:val="0"/>
          <w:sz w:val="32"/>
          <w:szCs w:val="32"/>
          <w:highlight w:val="none"/>
        </w:rPr>
        <w:t>会计报表附注</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楷体_GB2312" w:hAnsi="ˎ̥" w:eastAsia="楷体_GB2312" w:cs="Tahoma"/>
          <w:color w:val="auto"/>
          <w:kern w:val="0"/>
          <w:sz w:val="32"/>
          <w:szCs w:val="32"/>
          <w:highlight w:val="none"/>
        </w:rPr>
      </w:pPr>
      <w:r>
        <w:rPr>
          <w:rFonts w:hint="eastAsia" w:ascii="楷体_GB2312" w:hAnsi="ˎ̥" w:eastAsia="楷体_GB2312" w:cs="Tahoma"/>
          <w:color w:val="auto"/>
          <w:kern w:val="0"/>
          <w:sz w:val="32"/>
          <w:szCs w:val="32"/>
          <w:highlight w:val="none"/>
        </w:rPr>
        <w:t>（一）财务报表的编制基础</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本行以持续经营为基础，根据实际发生的交易和事项，按照财政部颁布的《企业会计准则——基本准则》和具体企业会计准则、企业会计准则应用指南、企业会计准则解释及其他相关规定(以下合称“企业会计准则”)进行确认和计量。</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楷体_GB2312" w:hAnsi="ˎ̥" w:eastAsia="楷体_GB2312" w:cs="Tahoma"/>
          <w:color w:val="auto"/>
          <w:kern w:val="0"/>
          <w:sz w:val="32"/>
          <w:szCs w:val="32"/>
          <w:highlight w:val="none"/>
        </w:rPr>
      </w:pPr>
      <w:r>
        <w:rPr>
          <w:rFonts w:hint="eastAsia" w:ascii="楷体_GB2312" w:hAnsi="ˎ̥" w:eastAsia="楷体_GB2312" w:cs="Tahoma"/>
          <w:color w:val="auto"/>
          <w:kern w:val="0"/>
          <w:sz w:val="32"/>
          <w:szCs w:val="32"/>
          <w:highlight w:val="none"/>
        </w:rPr>
        <w:t>（二）主要会计政策和会计估计</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1.会计期间</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本行会计年度为公历1月1日起至12月31日止。</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2.记账本位币</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本行的记账本位币为人民币。</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3.记账基础和计价原则</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本行以权责发生为记账基础。在对会计要素进行计量时，一般采用历史成本；对于按照准则的规定采用重置成本、可变现净值、现值或公允价值等其他属性进行计量的情形，本行将予以特别说明。</w:t>
      </w:r>
    </w:p>
    <w:p>
      <w:pPr>
        <w:keepNext w:val="0"/>
        <w:keepLines w:val="0"/>
        <w:pageBreakBefore w:val="0"/>
        <w:widowControl w:val="0"/>
        <w:tabs>
          <w:tab w:val="left" w:pos="7605"/>
        </w:tabs>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4.金融资产分类、确认及计量</w:t>
      </w:r>
      <w:r>
        <w:rPr>
          <w:rFonts w:hint="eastAsia" w:ascii="仿宋_GB2312" w:hAnsi="ˎ̥" w:eastAsia="仿宋_GB2312" w:cs="Tahoma"/>
          <w:color w:val="auto"/>
          <w:kern w:val="0"/>
          <w:sz w:val="32"/>
          <w:szCs w:val="32"/>
          <w:highlight w:val="none"/>
        </w:rPr>
        <w:tab/>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本行金融资产在初始确认时划分为以摊余成本计量的金融资产、以公允价值计量且其变动计入其他综合损益的金融资产、以公允价值计量且其变动计入当期损益的金融资产。</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5.贷款和应收款项</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贷款和应收款项采用实际利率法，按摊余成本进行后续计量，在终止确认、发生减值或摊销时产生的利得或损失，计入当期损益。</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6.长期股权投资</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本行对被投资单位能够实施控制的长期股权投资，以及对被投资单位不具有共同控制或重大影响，并且在活跃市场中没有报价、公允价值不能可靠计量的长期股权投资采用成本法核算；对被投资单位具有共同控制或重大影响的长期股权投资采用权益法核算。</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7.长期待摊费用</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长期待摊费用包括经营租入固定资产改良及其他已经发生但应由本期和以后各期负担的分摊期限在一年以上的各项费用，按预计受益期间分期平均摊销。如果长期待摊费用不能使以后会计期间受益，则该项目的摊余价值全部计入当期损益。</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8.利息收入和支出</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本行除按公允价值计量且其变动计入当期损益的金融资产和负债外，其他生息资产和负债的利息收入和支出根据权责发生制原则按实际利率法在利润表中确认。当实际利率与合同利率差异较小时，直接按合同利率确认。</w:t>
      </w:r>
    </w:p>
    <w:p>
      <w:pPr>
        <w:pStyle w:val="99"/>
        <w:keepNext w:val="0"/>
        <w:keepLines w:val="0"/>
        <w:pageBreakBefore w:val="0"/>
        <w:widowControl w:val="0"/>
        <w:kinsoku/>
        <w:wordWrap/>
        <w:overflowPunct/>
        <w:topLinePunct w:val="0"/>
        <w:autoSpaceDE w:val="0"/>
        <w:autoSpaceDN w:val="0"/>
        <w:bidi w:val="0"/>
        <w:adjustRightInd w:val="0"/>
        <w:snapToGrid/>
        <w:spacing w:line="560" w:lineRule="exact"/>
        <w:ind w:firstLine="560"/>
        <w:jc w:val="left"/>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9.所得税</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仿宋_GB2312" w:hAnsi="ˎ̥" w:eastAsia="仿宋_GB2312" w:cs="Tahoma"/>
          <w:color w:val="auto"/>
          <w:kern w:val="0"/>
          <w:sz w:val="32"/>
          <w:szCs w:val="32"/>
          <w:highlight w:val="none"/>
        </w:rPr>
      </w:pPr>
      <w:r>
        <w:rPr>
          <w:rFonts w:hint="eastAsia" w:ascii="仿宋_GB2312" w:hAnsi="ˎ̥" w:eastAsia="仿宋_GB2312" w:cs="Tahoma"/>
          <w:color w:val="auto"/>
          <w:kern w:val="0"/>
          <w:sz w:val="32"/>
          <w:szCs w:val="32"/>
          <w:highlight w:val="none"/>
        </w:rPr>
        <w:t>本行所得税包括当期所得税和递延所得税。除由于与直接计入股东权益的交易或者事项相关的计入股东权益外，均作为所得税费用或收益计入当期损益。</w:t>
      </w:r>
    </w:p>
    <w:p>
      <w:pPr>
        <w:keepNext w:val="0"/>
        <w:keepLines w:val="0"/>
        <w:pageBreakBefore w:val="0"/>
        <w:widowControl w:val="0"/>
        <w:kinsoku/>
        <w:wordWrap/>
        <w:overflowPunct/>
        <w:topLinePunct w:val="0"/>
        <w:bidi w:val="0"/>
        <w:snapToGrid/>
        <w:spacing w:line="560" w:lineRule="exact"/>
        <w:ind w:firstLine="640" w:firstLineChars="200"/>
        <w:textAlignment w:val="auto"/>
        <w:rPr>
          <w:rFonts w:hint="eastAsia" w:ascii="楷体_GB2312" w:hAnsi="ˎ̥" w:eastAsia="楷体_GB2312" w:cs="Tahoma"/>
          <w:color w:val="auto"/>
          <w:kern w:val="0"/>
          <w:sz w:val="32"/>
          <w:szCs w:val="32"/>
          <w:highlight w:val="none"/>
        </w:rPr>
      </w:pPr>
      <w:r>
        <w:rPr>
          <w:rFonts w:hint="eastAsia" w:ascii="楷体_GB2312" w:hAnsi="ˎ̥" w:eastAsia="楷体_GB2312" w:cs="Tahoma"/>
          <w:color w:val="auto"/>
          <w:kern w:val="0"/>
          <w:sz w:val="32"/>
          <w:szCs w:val="32"/>
          <w:highlight w:val="none"/>
        </w:rPr>
        <w:t>（三）主要指标注释</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1.2026年6月末实现营业收入58277.01万元，同比减少613.72万元，降幅1.04%；其中贷款利息收入37070.29万元，同比减少2113.32万元，降幅5.39%，占营业收入的63.61%。</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2.2026年6月末业务及管理费支出10987.15万元,同比增加292.06万元，增幅2.73%，占营业支出的29.22%。</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3.2026年6月末实现利润总额20618.73万元，同比增</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减少3106.07万元，降幅13.09%；所得税费用2633.49万元；实现净利润17985.24万元，同比增加139.24万元，增幅0.78%。</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4.2026年6月末贷款损失准备92867.94万元，较年初减少6431.87万元；我行各项减值准备107673.70万元，较年初减少3428.07万元。</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5.资本充足状况，2026年6月末，本行风险加权资产总额180.96亿元、资本净额30.89亿元，核心一级资本充足率15.93%、资本充足率17.07%。</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6.关联方、关联方交易的总量及重大关联方交易的情况</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6.1总体情况</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bookmarkStart w:id="23" w:name="_Toc32521"/>
      <w:r>
        <w:rPr>
          <w:rFonts w:hint="eastAsia" w:ascii="Times New Roman" w:hAnsi="Times New Roman" w:eastAsia="仿宋_GB2312" w:cs="Times New Roman"/>
          <w:b w:val="0"/>
          <w:bCs w:val="0"/>
          <w:color w:val="auto"/>
          <w:kern w:val="2"/>
          <w:sz w:val="32"/>
          <w:szCs w:val="32"/>
          <w:highlight w:val="none"/>
          <w:lang w:val="en-US" w:eastAsia="zh-CN" w:bidi="ar-SA"/>
        </w:rPr>
        <w:t>截至2026年6月末，本行关联方贷款及贷记卡用信共121户，授信金额为51311.44万元，用信余额为44451.71万元，其中贷款余额44389.74万元，贷记卡余额为61.97万元。2026年6月末本行资本净额308887.9万元，关联授信净额占资本净额的14.39%。关联交易授信户数中，与本行主要股东及有关联关系的关联交易共18户，授信总额42201万元，用信余额37175.99万元；与本行原监事及有关联关系的关联交易共3户，授信总额6500万元，用信余额5833.50万元；与本行员工以及有关联关系的关联交易100户，授信金额2610.44万元，用信余额1442.22万元。</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本行关联交易严格执行监管比例要求,符合“银行机构对单个关联方的授信余额不得超过银行机构上季末资本净额的10%。银行机构对单个关联法人或非法人组织所在集团客户的合计授信余额不得超过银行机构上季末资本净额的15%。银行机构对全部关联方的授信余额不得超过银行机构上季末资本净额的50%。”相关要求。</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关联交易定价情况：本行的关联交易遵守法律、行政法规、国家统一的会计制度和有关的银行业监督管理规定，符合商业原则，不优于对非关联方同类交易。</w:t>
      </w:r>
    </w:p>
    <w:p>
      <w:pPr>
        <w:spacing w:before="156" w:beforeLines="50" w:line="400" w:lineRule="exact"/>
        <w:ind w:firstLine="964" w:firstLineChars="300"/>
        <w:outlineLvl w:val="0"/>
        <w:rPr>
          <w:rFonts w:hint="eastAsia" w:ascii="仿宋" w:hAnsi="仿宋" w:eastAsia="仿宋" w:cs="宋体"/>
          <w:color w:val="auto"/>
          <w:spacing w:val="10"/>
          <w:sz w:val="30"/>
          <w:szCs w:val="30"/>
          <w:highlight w:val="none"/>
        </w:rPr>
      </w:pPr>
      <w:r>
        <w:rPr>
          <w:rFonts w:hint="eastAsia" w:ascii="仿宋" w:hAnsi="仿宋" w:eastAsia="仿宋" w:cs="宋体"/>
          <w:b/>
          <w:color w:val="auto"/>
          <w:spacing w:val="10"/>
          <w:sz w:val="30"/>
          <w:szCs w:val="30"/>
          <w:highlight w:val="none"/>
          <w:lang w:eastAsia="zh-CN"/>
        </w:rPr>
        <w:t>202</w:t>
      </w:r>
      <w:r>
        <w:rPr>
          <w:rFonts w:hint="eastAsia" w:ascii="仿宋" w:hAnsi="仿宋" w:eastAsia="仿宋" w:cs="宋体"/>
          <w:b/>
          <w:color w:val="auto"/>
          <w:spacing w:val="10"/>
          <w:sz w:val="30"/>
          <w:szCs w:val="30"/>
          <w:highlight w:val="none"/>
          <w:lang w:val="en-US" w:eastAsia="zh-CN"/>
        </w:rPr>
        <w:t>6</w:t>
      </w:r>
      <w:r>
        <w:rPr>
          <w:rFonts w:hint="eastAsia" w:ascii="仿宋" w:hAnsi="仿宋" w:eastAsia="仿宋" w:cs="宋体"/>
          <w:b/>
          <w:color w:val="auto"/>
          <w:spacing w:val="10"/>
          <w:sz w:val="30"/>
          <w:szCs w:val="30"/>
          <w:highlight w:val="none"/>
        </w:rPr>
        <w:t>年</w:t>
      </w:r>
      <w:r>
        <w:rPr>
          <w:rFonts w:hint="eastAsia" w:ascii="仿宋" w:hAnsi="仿宋" w:eastAsia="仿宋" w:cs="宋体"/>
          <w:b/>
          <w:color w:val="auto"/>
          <w:spacing w:val="10"/>
          <w:sz w:val="30"/>
          <w:szCs w:val="30"/>
          <w:highlight w:val="none"/>
          <w:lang w:val="en-US" w:eastAsia="zh-CN"/>
        </w:rPr>
        <w:t>6</w:t>
      </w:r>
      <w:r>
        <w:rPr>
          <w:rFonts w:hint="eastAsia" w:ascii="仿宋" w:hAnsi="仿宋" w:eastAsia="仿宋" w:cs="宋体"/>
          <w:b/>
          <w:color w:val="auto"/>
          <w:spacing w:val="10"/>
          <w:sz w:val="30"/>
          <w:szCs w:val="30"/>
          <w:highlight w:val="none"/>
        </w:rPr>
        <w:t>月末前十大贷款关联交易情况表</w:t>
      </w:r>
    </w:p>
    <w:p>
      <w:pPr>
        <w:spacing w:line="400" w:lineRule="exact"/>
        <w:ind w:firstLine="3680" w:firstLineChars="1150"/>
        <w:jc w:val="right"/>
        <w:rPr>
          <w:rFonts w:hint="eastAsia" w:ascii="仿宋" w:hAnsi="仿宋" w:eastAsia="仿宋" w:cs="宋体"/>
          <w:color w:val="auto"/>
          <w:spacing w:val="10"/>
          <w:szCs w:val="21"/>
          <w:highlight w:val="none"/>
        </w:rPr>
      </w:pPr>
      <w:r>
        <w:rPr>
          <w:rFonts w:hint="eastAsia" w:ascii="仿宋" w:hAnsi="仿宋" w:eastAsia="仿宋" w:cs="宋体"/>
          <w:color w:val="auto"/>
          <w:spacing w:val="10"/>
          <w:sz w:val="30"/>
          <w:szCs w:val="30"/>
          <w:highlight w:val="none"/>
        </w:rPr>
        <w:t xml:space="preserve">  </w:t>
      </w:r>
      <w:r>
        <w:rPr>
          <w:rFonts w:hint="eastAsia" w:ascii="仿宋" w:hAnsi="仿宋" w:eastAsia="仿宋" w:cs="宋体"/>
          <w:color w:val="auto"/>
          <w:spacing w:val="10"/>
          <w:szCs w:val="21"/>
          <w:highlight w:val="none"/>
        </w:rPr>
        <w:t>单位：万元</w:t>
      </w:r>
    </w:p>
    <w:tbl>
      <w:tblPr>
        <w:tblStyle w:val="27"/>
        <w:tblW w:w="9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3"/>
        <w:gridCol w:w="1517"/>
        <w:gridCol w:w="814"/>
        <w:gridCol w:w="1150"/>
        <w:gridCol w:w="1088"/>
        <w:gridCol w:w="1075"/>
        <w:gridCol w:w="1273"/>
        <w:gridCol w:w="1080"/>
        <w:gridCol w:w="10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jc w:val="center"/>
        </w:trPr>
        <w:tc>
          <w:tcPr>
            <w:tcW w:w="643"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序号</w:t>
            </w:r>
          </w:p>
        </w:tc>
        <w:tc>
          <w:tcPr>
            <w:tcW w:w="1517" w:type="dxa"/>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关联方名称</w:t>
            </w:r>
          </w:p>
        </w:tc>
        <w:tc>
          <w:tcPr>
            <w:tcW w:w="814" w:type="dxa"/>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关联类型</w:t>
            </w:r>
          </w:p>
        </w:tc>
        <w:tc>
          <w:tcPr>
            <w:tcW w:w="1150" w:type="dxa"/>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持股比例</w:t>
            </w:r>
          </w:p>
        </w:tc>
        <w:tc>
          <w:tcPr>
            <w:tcW w:w="1088" w:type="dxa"/>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用信余额</w:t>
            </w:r>
          </w:p>
        </w:tc>
        <w:tc>
          <w:tcPr>
            <w:tcW w:w="1075" w:type="dxa"/>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授信总额</w:t>
            </w:r>
          </w:p>
        </w:tc>
        <w:tc>
          <w:tcPr>
            <w:tcW w:w="1273" w:type="dxa"/>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用信占资本净额比例</w:t>
            </w:r>
          </w:p>
        </w:tc>
        <w:tc>
          <w:tcPr>
            <w:tcW w:w="1080" w:type="dxa"/>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风险缓释措施</w:t>
            </w:r>
          </w:p>
        </w:tc>
        <w:tc>
          <w:tcPr>
            <w:tcW w:w="1080" w:type="dxa"/>
            <w:vMerge w:val="restar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是否重大关联交易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643"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517" w:type="dxa"/>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814" w:type="dxa"/>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150" w:type="dxa"/>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088" w:type="dxa"/>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075" w:type="dxa"/>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273" w:type="dxa"/>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080" w:type="dxa"/>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c>
          <w:tcPr>
            <w:tcW w:w="1080" w:type="dxa"/>
            <w:vMerge w:val="continue"/>
            <w:tcBorders>
              <w:top w:val="single" w:color="000000" w:sz="8" w:space="0"/>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auto"/>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jc w:val="center"/>
        </w:trPr>
        <w:tc>
          <w:tcPr>
            <w:tcW w:w="64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江苏东海农业发展集团有限公司</w:t>
            </w:r>
          </w:p>
        </w:tc>
        <w:tc>
          <w:tcPr>
            <w:tcW w:w="814"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关联 法人</w:t>
            </w:r>
          </w:p>
        </w:tc>
        <w:tc>
          <w:tcPr>
            <w:tcW w:w="11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0.00%</w:t>
            </w:r>
          </w:p>
        </w:tc>
        <w:tc>
          <w:tcPr>
            <w:tcW w:w="1088"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5000</w:t>
            </w:r>
          </w:p>
        </w:tc>
        <w:tc>
          <w:tcPr>
            <w:tcW w:w="10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5000</w:t>
            </w:r>
          </w:p>
        </w:tc>
        <w:tc>
          <w:tcPr>
            <w:tcW w:w="127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1.62%</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保证（公司保证）</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jc w:val="center"/>
        </w:trPr>
        <w:tc>
          <w:tcPr>
            <w:tcW w:w="64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东海县水利建筑安装工程有限公司</w:t>
            </w:r>
          </w:p>
        </w:tc>
        <w:tc>
          <w:tcPr>
            <w:tcW w:w="814"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关联 法人</w:t>
            </w:r>
          </w:p>
        </w:tc>
        <w:tc>
          <w:tcPr>
            <w:tcW w:w="11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0.00%</w:t>
            </w:r>
          </w:p>
        </w:tc>
        <w:tc>
          <w:tcPr>
            <w:tcW w:w="1088"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4200</w:t>
            </w:r>
          </w:p>
        </w:tc>
        <w:tc>
          <w:tcPr>
            <w:tcW w:w="10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4200</w:t>
            </w:r>
          </w:p>
        </w:tc>
        <w:tc>
          <w:tcPr>
            <w:tcW w:w="127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1.36%</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抵押（房地产）</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64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江苏东海天工建设有限公司</w:t>
            </w:r>
          </w:p>
        </w:tc>
        <w:tc>
          <w:tcPr>
            <w:tcW w:w="814"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关联 法人</w:t>
            </w:r>
          </w:p>
        </w:tc>
        <w:tc>
          <w:tcPr>
            <w:tcW w:w="11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4.48%</w:t>
            </w:r>
          </w:p>
        </w:tc>
        <w:tc>
          <w:tcPr>
            <w:tcW w:w="1088"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3334</w:t>
            </w:r>
          </w:p>
        </w:tc>
        <w:tc>
          <w:tcPr>
            <w:tcW w:w="10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4000</w:t>
            </w:r>
          </w:p>
        </w:tc>
        <w:tc>
          <w:tcPr>
            <w:tcW w:w="127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1.08%</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抵押（房地产）</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jc w:val="center"/>
        </w:trPr>
        <w:tc>
          <w:tcPr>
            <w:tcW w:w="64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江苏东海链融供应链管理有限公司</w:t>
            </w:r>
          </w:p>
        </w:tc>
        <w:tc>
          <w:tcPr>
            <w:tcW w:w="814"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关联 法人</w:t>
            </w:r>
          </w:p>
        </w:tc>
        <w:tc>
          <w:tcPr>
            <w:tcW w:w="11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0.00%</w:t>
            </w:r>
          </w:p>
        </w:tc>
        <w:tc>
          <w:tcPr>
            <w:tcW w:w="1088"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3000</w:t>
            </w:r>
          </w:p>
        </w:tc>
        <w:tc>
          <w:tcPr>
            <w:tcW w:w="10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3000</w:t>
            </w:r>
          </w:p>
        </w:tc>
        <w:tc>
          <w:tcPr>
            <w:tcW w:w="127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0.97%</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保证（公司保证）</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jc w:val="center"/>
        </w:trPr>
        <w:tc>
          <w:tcPr>
            <w:tcW w:w="64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东海县晶质农产品电商交易有限公司</w:t>
            </w:r>
          </w:p>
        </w:tc>
        <w:tc>
          <w:tcPr>
            <w:tcW w:w="814"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关联 法人</w:t>
            </w:r>
          </w:p>
        </w:tc>
        <w:tc>
          <w:tcPr>
            <w:tcW w:w="11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0.00%</w:t>
            </w:r>
          </w:p>
        </w:tc>
        <w:tc>
          <w:tcPr>
            <w:tcW w:w="1088"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2910</w:t>
            </w:r>
          </w:p>
        </w:tc>
        <w:tc>
          <w:tcPr>
            <w:tcW w:w="10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2910</w:t>
            </w:r>
          </w:p>
        </w:tc>
        <w:tc>
          <w:tcPr>
            <w:tcW w:w="127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0.94%</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保证（公司保证）</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jc w:val="center"/>
        </w:trPr>
        <w:tc>
          <w:tcPr>
            <w:tcW w:w="64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江苏东海晶宇绿色农业发展有限公司</w:t>
            </w:r>
          </w:p>
        </w:tc>
        <w:tc>
          <w:tcPr>
            <w:tcW w:w="814"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关联 法人</w:t>
            </w:r>
          </w:p>
        </w:tc>
        <w:tc>
          <w:tcPr>
            <w:tcW w:w="11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0.00%</w:t>
            </w:r>
          </w:p>
        </w:tc>
        <w:tc>
          <w:tcPr>
            <w:tcW w:w="1088"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2900</w:t>
            </w:r>
          </w:p>
        </w:tc>
        <w:tc>
          <w:tcPr>
            <w:tcW w:w="10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2900</w:t>
            </w:r>
          </w:p>
        </w:tc>
        <w:tc>
          <w:tcPr>
            <w:tcW w:w="127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0.94%</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保证（公司保证）</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jc w:val="center"/>
        </w:trPr>
        <w:tc>
          <w:tcPr>
            <w:tcW w:w="64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连云港市晶都建设集团有限公司</w:t>
            </w:r>
          </w:p>
        </w:tc>
        <w:tc>
          <w:tcPr>
            <w:tcW w:w="814"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关联 法人</w:t>
            </w:r>
          </w:p>
        </w:tc>
        <w:tc>
          <w:tcPr>
            <w:tcW w:w="11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9.66%</w:t>
            </w:r>
          </w:p>
        </w:tc>
        <w:tc>
          <w:tcPr>
            <w:tcW w:w="1088"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2800</w:t>
            </w:r>
          </w:p>
        </w:tc>
        <w:tc>
          <w:tcPr>
            <w:tcW w:w="10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2800</w:t>
            </w:r>
          </w:p>
        </w:tc>
        <w:tc>
          <w:tcPr>
            <w:tcW w:w="127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0.91%</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抵押（房地产）</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jc w:val="center"/>
        </w:trPr>
        <w:tc>
          <w:tcPr>
            <w:tcW w:w="64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东海县晶韵福礼文化有限公司</w:t>
            </w:r>
          </w:p>
        </w:tc>
        <w:tc>
          <w:tcPr>
            <w:tcW w:w="814"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关联 法人</w:t>
            </w:r>
          </w:p>
        </w:tc>
        <w:tc>
          <w:tcPr>
            <w:tcW w:w="11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0.00%</w:t>
            </w:r>
          </w:p>
        </w:tc>
        <w:tc>
          <w:tcPr>
            <w:tcW w:w="1088"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2000</w:t>
            </w:r>
          </w:p>
        </w:tc>
        <w:tc>
          <w:tcPr>
            <w:tcW w:w="10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2000</w:t>
            </w:r>
          </w:p>
        </w:tc>
        <w:tc>
          <w:tcPr>
            <w:tcW w:w="127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0.65%</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保证（公司保证）</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64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江苏百湖生态渔业发展有限公司</w:t>
            </w:r>
          </w:p>
        </w:tc>
        <w:tc>
          <w:tcPr>
            <w:tcW w:w="814"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关联 法人</w:t>
            </w:r>
          </w:p>
        </w:tc>
        <w:tc>
          <w:tcPr>
            <w:tcW w:w="11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0.00%</w:t>
            </w:r>
          </w:p>
        </w:tc>
        <w:tc>
          <w:tcPr>
            <w:tcW w:w="1088"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2000</w:t>
            </w:r>
          </w:p>
        </w:tc>
        <w:tc>
          <w:tcPr>
            <w:tcW w:w="10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2000</w:t>
            </w:r>
          </w:p>
        </w:tc>
        <w:tc>
          <w:tcPr>
            <w:tcW w:w="127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0.65%</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保证（公司保证）</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643"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江苏东海晶质农业科技有限公司</w:t>
            </w:r>
          </w:p>
        </w:tc>
        <w:tc>
          <w:tcPr>
            <w:tcW w:w="814"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关联 法人</w:t>
            </w:r>
          </w:p>
        </w:tc>
        <w:tc>
          <w:tcPr>
            <w:tcW w:w="115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0.00%</w:t>
            </w:r>
          </w:p>
        </w:tc>
        <w:tc>
          <w:tcPr>
            <w:tcW w:w="1088"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2000</w:t>
            </w:r>
          </w:p>
        </w:tc>
        <w:tc>
          <w:tcPr>
            <w:tcW w:w="1075"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2000</w:t>
            </w:r>
          </w:p>
        </w:tc>
        <w:tc>
          <w:tcPr>
            <w:tcW w:w="127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0.65%</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保证（公司保证）</w:t>
            </w:r>
          </w:p>
        </w:tc>
        <w:tc>
          <w:tcPr>
            <w:tcW w:w="108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是</w:t>
            </w:r>
          </w:p>
        </w:tc>
      </w:tr>
    </w:tbl>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6.2重大关联交易情况</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截至2026年6月末，本行共有3个集团重大关联交易，用信余额为42409万元，具体情况为：</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6.2.1东海晶发粮油购销有限公司、江苏百湖生态渔业发展有限公司、江苏东海晶质农业科技有限公司、江苏捷晶水晶产业发展有限公司、江苏东海链融供应链管理有限公司、连云港晶购保税物流有限公司、东海县晶韵福礼文化有限公司、江苏东海晶宇绿色农业发展有限公司、东海县晶质农产品电商交易有限公司和江苏东海农业发展集团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因江苏福如东海发展集团有限公司为本行主要股东，截至2026年6月末，江苏福如东海发展集团有限公司在我行股金共1874.7242万股，占本行总股本的4.1935%。江苏福如东海发展集团有限公司和江苏东海水晶产业发展集团有限公司同时由东海县人民政府实际控制的江苏东海产业发展控股有限公司100%控股。东海晶发粮油购销有限公司、江苏百湖生态渔业发展有限公司、江苏东海晶质农业科技有限公司和东海县晶质农产品电商交易有限公司由江苏东海农业发展集团有限公司占股100%（江苏东海农业发展集团有限公司由江苏福如东海发展集团有限公司100%控股）。江苏捷晶水晶产业发展有限公司由江苏东海水晶产业发展集团有限公司占股65%。江苏东海链融供应链管理有限公司、江苏东海晶宇绿色农业发展有限公司和江苏东海农业发展集团有限公司由江苏福如东海发展集团有限公司100%控股。连云港晶购保税物流有限公司由江苏东海水晶产业发展集团有限公司100%控股。故东海晶发粮油购销有限公司、江苏百湖生态渔业发展有限公司、江苏东海晶质农业科技有限公司、江苏捷晶水晶产业发展有限公司、江苏东海链融供应链管理有限公司及连云港晶购保税物流有限公司、东海县晶韵福礼文化有限公司、江苏东海晶宇绿色农业发展有限公司、东海县晶质农产品电商交易有限公司和江苏东海农业发展集团有限公司属于江苏福如东海发展集团有限公司的关联方。根据我行集团客户统一管理办法，对包括东海晶发粮油购销有限公司、江苏百湖生态渔业发展有限公司、江苏东海晶质农业科技有限公司、江苏捷晶水晶产业发展有限公司、江苏东海链融供应链管理有限公司及连云港晶购保税物流有限公司在内的江苏福如东海发展集团关联的17家公司共统一授信金额42000万元，用信余额30075万元，占资本净额的9.7365%。</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（1）东海晶发粮油购销有限公司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东海晶发粮油购销有限公司在本行授信6000万元，现贷款余额2000万元，占资本净额0.65%，授信期限3年，担保方式为公司保证，提供江苏东海农业发展集团有限公司保证，目前共用信2000万元，共分2笔发放, 执行年利率3.1%。</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①余额1000万元，贷款起始日期为2026年6月16日，到期日期为2027年6月14日，担保方式为公司保证，提供江苏东海农业发展集团有限公司保证，五级分类为正常。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②余额1000万元，贷款起始日期为2026年6月17日，到期日期为2027年6月16日，担保方式为公司保证，五级分类为正常。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（2）江苏百湖生态渔业发展有限公司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江苏百湖生态渔业发展有限公司在本行授信2000万元，用信余额2000万元，占资本净额的0.65%，执行年利率4%，授信期限3年，为公司担保，担保公司为江苏东海农业发展集团有限公司。用途为购鱼苗，1笔发放。贷款发放日期2026年1月30日，到期日期2027年1月20日，贷款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（3）江苏东海晶质农业科技有限公司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江苏东海晶质农业科技有限公司在本行授信2000万元，用信余额2000万元，占资本净额的0.65%，执行年利率4%，授信期限3年，为公司担保，担保公司为江苏东海农业发展集团有限公司。用途为购水稻种子，1笔发放。贷款发放日期2026年1月30日，到期日期2027年1月20日，贷款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（4）江苏捷晶水晶产业发展有限公司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江苏捷晶水晶产业发展有限公司在本行授信2000万元，用信余额2000万元，占资本净额的0.65%，执行年利率4.5%，授信期限3年，为公司担保，担保公司为江苏东海水晶产业发展集团有限公司。用途为批发和零售业，1笔发放。贷款发放日期2026年1月1日，到期日期2026年12月28日，贷款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（5）江苏东海链融供应链管理有限公司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江苏东海链融供应链管理有限公司在本行授信3000万元，用信余额3000万元，占资本净额的0.97%，执行年利率4.5%，授信期限3年，为公司担保，担保公司为江苏福如东海发展集团有限公司。用途为批发和零售业，1笔发放。贷款发放日期2026年1月5日，到期日期2027年1月4日，贷款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（6）连云港晶购保税物流有限公司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连云港晶购保税物流有限公司在本行授信2000万元，用信余额2000万元，占资本净额的0.65%，执行年利率4.5%，授信期限3年，为公司担保，担保公司为江苏东海水晶产业发展集团有限公司。用途为批发和零售业，1笔发放。贷款发放日期2026年1月8日，到期日期2027年1月7日，贷款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（7）江苏东海晶宇绿色农业发展有限公司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江苏东海晶宇绿色农业发展有限公司在本行授信2900万元，用信余额2900万元，占资本净额的0.94%，执行年利率4%，授信期限3年，为公司担保，担保公司为江苏福如东海发展集团有限公司。用途为批发和零售业，1笔发放。贷款发放日期2026年6月30日，到期日期2027年6月28日，贷款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（8）东海县晶质农产品电商交易有限公司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东海县晶质农产品电商交易有限公司在本行授信2910万元，用信余额2910万元，占资本净额的0.94%，执行年利率3.8%，授信期限3年，为公司担保，担保公司为江苏东海农业发展集团有限公司。用途为批发和零售业，1笔发放。贷款发放日期2026年6月30日，到期日期2027年6月20日，贷款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（9）江苏东海农业发展集团有限公司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江苏东海农业发展集团有限公司在本行授信5000万元，用信余额5000万元，占资本净额的1.62%，执行年利率3.8%，授信期限3年，为公司担保，担保公司为江苏东海产业发展控股有限公司。用途为农、林、牧、渔业，1笔发放。贷款发放日期2026年6月30日，到期日期2027年6月20日，贷款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（10）东海县晶韵福礼文化有限公司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东海县晶韵福礼文化有限公司在本行授信2000万元，用信余额2000万元，占资本净额的0.65%，执行年利率4.5%，授信期限3年，为公司担保，担保公司为苏东海水晶产业发展集团有限公司。用途为批发和零售业，1笔发放。贷款发放日期2026年2月10日，到期日期2027年2月09日，贷款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6.2.2连云港市晶都建设集团有限公司及东海县水利建筑安装工程有限公司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连云港市晶都建设集团有限公司为本行主要股东，截至2026年6月末，持有本行股份4316.3827万股，占本行总股本的9.6553%。连云港市晶都建设集团有限公司与东海县水利建筑安装工程有限公司实际控制人均为徐旨文，据此判定：连云港市晶都建设集团有限公司与东海县水利建筑安装工程有限公司为关联方，故视作关联方管理。该集团客户在我行授信总额为7000万元，用信余额7000万元，占资本净额的2.35%。</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（1）东海县水利建筑安装工程有限公司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东海县水利建筑安装工程有限公司在本行授信总额为4200万元，执行年利率3.5%，用信余额4200万元，占资本净额的1.36%，授信期限5年，为房地产抵押担保2200万元，抵押物估值为3668万元，抵押率59.99%；土地抵押担保2000万元，抵押物评估价值4400万元，抵押率45.45%。现贷款余额4200万元共分2笔发放。</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①贷款余额2200万元，贷款起始日期为2026年4月1日，到期日期为2027年3月31日，房地产抵押，贷款用途为建筑业，五级分类为正常。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②贷款余额2000万元，贷款起始日期为2026年3月24日，到期日期为2027年3月23日，土地抵押，贷款用途为建筑业，五级分类为正常。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（2）连云港市晶都建设集团有限公司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连云港市晶都建设集团有限公司在本行授信总额为2800万元，执行年利率3.5%，用信余额2800万元，占资本净额的0.91%，授信期限5年，为房地产抵押担保，抵押物估值为3690.22万元，抵押率59.62%。目前贷款余额2800万元，共分5笔发放：</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①余额424万元，贷款起始日期为2026年4月1日，到期日期为2027年1月18日，房地产抵押，贷款用途为建筑业，五级分类为正常。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②余额582万元，贷款起始日期为2026年4月1日，到期日期为2027年1月18日，房地产抵押，贷款用途为建筑业，五级分类为正常。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③余额524万元，贷款起始日期为2026年4月1日，到期日期为2027年1月18日，房地产抵押，贷款用途为建筑业，五级分类为正常。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④余额670万元，贷款起始日期为2026年4月1日，到期日期为2027年1月18日，房地产抵押，贷款用途为建筑业，五级分类为正常。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⑤余额600万元，贷款起始日期为2026年4月1日，到期日期为2027年1月18日，房地产抵押，贷款用途为建筑业，五级分类为正常。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6.2.3江苏东海天工建设有限公司及东海县第三建筑安装工程有限公司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截至2026年6月末，江苏东海天工建设有限公司持有本行股份2002.3149万股，占本行总股本的4.48%。因本行原股权监事霍正广持有江苏东海天工建设有限公司26%股份，同时担任东海县第三建筑安装工程有限公司董事长，据此判定江苏东海天工建设有限公司与东海县第三建筑安装工程有限公司为本行关联方。该集团客户授信总额为7800万元，用信余额5334万元，占资本净额的1.73%。</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（1）江苏东海天工建设有限公司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江苏东海天工建设有限公司在本行授信总额为4000万元，执行年利率3.5%，用信余额3334万元，占资本净额的1.08%，授信期限5年，为房地产抵押担保，非股权质押反担保，未发生逾期。抵押物估值为6215.41万元，抵押率64.35%。目前贷款余额为3334万元，共分8笔发放：</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①余额278万元，贷款起始日期为2026年3月29日，到期日期为2026年12月8日，房产抵押，贷款用途为建筑业，五级分类为正常。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②余额298万元，贷款起始日期为2026年3月29日，到期日期为2026年12月8日，房产抵押，贷款用途为建筑业，五级分类为正常。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③余额371万元，贷款起始日期为2026年3月29日，到期日期为2026年12月8日，房产抵押，贷款用途为建筑业，五级分类为正常。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④余额390万元，贷款起始日期为2026年3月29日，到期日期为2026年12月8日，房产抵押，贷款用途为建筑业，五级分类为正常。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⑤余额460万元，贷款起始日期为2026年3月29日，到期日期为2026年12月8日，房产抵押，贷款用途为建筑业，五级分类为正常。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⑥余额474万元，贷款起始日期为2026年3月29日，到期日期为2026年12月8日，房产抵押，贷款用途为建筑业，五级分类为正常。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⑦余额488万元，贷款起始日期为2026年3月29日，到期日期为2026年12月8日，房产抵押，贷款用途为建筑业，五级分类为正常。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⑧余额575万元，贷款起始日期为2026年3月29日，到期日期为2026年12月8日，房产抵押，贷款用途为建筑业，五级分类为正常。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（2）东海县第三建筑安装工程有限公司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东海县第三建筑安装工程有限公司在本行授信2000万元，用信余额2000万元，占本行资本净额0.65%，执行年利率3.5%，授信期限5年，贷款用途工程周转，贷款方式为房地产抵押，抵押物估值为3248.54万元，抵押率61.56%。目前贷款余额2000万元，共分4笔发放。</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①余额430万元，贷款起始日期为2026年3月29日，到期日期为2026年12月8日，担保方式为房地产抵押，五级分类为正常。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②余额460万元，贷款起始日期为2026年3月29日，到期日期为2026年12月8日，担保方式为房地产抵押，五级分类为正常。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③余额470万元，贷款起始日期为2026年3月29日，到期日期为2026年12月8日，担保方式为房地产抵押，五级分类为正常。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④余额640万元，贷款起始日期为2026年3月29日，到期日期为2026年12月8日，担保方式为房地产抵押，五级分类为正常。</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6.3一般关联交易情况</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6.3.1授信类</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截至2026年6月末，本行授信类一般关联交易余额为2042.71万元，符合监管比例要求。</w:t>
      </w:r>
      <w:bookmarkEnd w:id="23"/>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6.3.2同业业务</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报告期内，本行与关联方发生同业业务金额合计3000万元，已于2026年6月1日结清。</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6.3.3服务类</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报告期内，本行接受关联方提供的服务类一般关联交易共1笔、金额584.61万元。</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6.3.4存款和其他类型</w:t>
      </w:r>
    </w:p>
    <w:p>
      <w:pPr>
        <w:keepNext w:val="0"/>
        <w:keepLines w:val="0"/>
        <w:pageBreakBefore w:val="0"/>
        <w:widowControl w:val="0"/>
        <w:kinsoku/>
        <w:wordWrap/>
        <w:overflowPunct/>
        <w:topLinePunct w:val="0"/>
        <w:autoSpaceDE/>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color w:val="auto"/>
          <w:kern w:val="2"/>
          <w:sz w:val="32"/>
          <w:szCs w:val="32"/>
          <w:highlight w:val="none"/>
          <w:lang w:val="en-US" w:eastAsia="zh-CN" w:bidi="ar-SA"/>
        </w:rPr>
      </w:pPr>
      <w:r>
        <w:rPr>
          <w:rFonts w:hint="eastAsia" w:ascii="Times New Roman" w:hAnsi="Times New Roman" w:eastAsia="仿宋_GB2312" w:cs="Times New Roman"/>
          <w:b w:val="0"/>
          <w:bCs w:val="0"/>
          <w:color w:val="auto"/>
          <w:kern w:val="2"/>
          <w:sz w:val="32"/>
          <w:szCs w:val="32"/>
          <w:highlight w:val="none"/>
          <w:lang w:val="en-US" w:eastAsia="zh-CN" w:bidi="ar-SA"/>
        </w:rPr>
        <w:t>报告期内，本行关联方定期存款共发生19户、30笔、存款金额447.56万元。</w:t>
      </w:r>
    </w:p>
    <w:sectPr>
      <w:headerReference r:id="rId9" w:type="default"/>
      <w:footerReference r:id="rId10"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A00002EF" w:usb1="4000004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font-weight : 400">
    <w:altName w:val="Segoe Print"/>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18415" b="1905"/>
              <wp:wrapNone/>
              <wp:docPr id="6" name="文本框 12"/>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wps:txbx>
                    <wps:bodyPr wrap="none" lIns="0" tIns="0" rIns="0" bIns="0">
                      <a:spAutoFit/>
                    </wps:bodyPr>
                  </wps:wsp>
                </a:graphicData>
              </a:graphic>
            </wp:anchor>
          </w:drawing>
        </mc:Choice>
        <mc:Fallback>
          <w:pict>
            <v:shape id="文本框 12"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GAG6pTIAQAAiwMAAA4AAABkcnMvZTJvRG9jLnhtbK1TS27bMBDdF8gd&#10;CO5jWU6cBILloIWRoEDRFkh7AJoiLQL8gUNb8gXaG3TVTfc9l8+RISU7n26y6IYazozezHszXNz2&#10;RpOdCKCcrWk5mVIiLHeNspuafv92d35DCURmG6adFTXdC6C3y7N3i85XYuZapxsRCIJYqDpf0zZG&#10;XxUF8FYYBhPnhcWgdMGwiNewKZrAOkQ3uphNp1dF50Ljg+MCAL2rIUhHxPAWQCel4mLl+NYIGwfU&#10;IDSLSAla5YEuc7dSCh6/SAkiEl1TZBrziUXQXqezWC5YtQnMt4qPLbC3tPCKk2HKYtET1IpFRrZB&#10;/QNlFA8OnIwT7kwxEMmKIIty+kqbh5Z5kbmg1OBPosP/g+Wfd18DUU1NryixzODAD79+Hn7/Pfz5&#10;QcpZ0qfzUGHag8fE2H9wPW7N0Q/oTLR7GUz6IiGCcVR3f1JX9JFwdM6vr2/mlHCMlBfl5eU8gRRP&#10;//oA8V44Q5JR04Czy5Ky3SeIQ+oxJZWy7k5pneen7QsHYiZPkRofGkxW7Nf9yGbtmj2S6XDsNbW4&#10;5ZTojxZVTRtyNMLRWI9GqgH+/TZi4dxPQh2gxmI4o8xo3Ke0BM/vOevpDS0f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L3UTQAAAAAgEAAA8AAAAAAAAAAQAgAAAAIgAAAGRycy9kb3ducmV2Lnht&#10;bFBLAQIUABQAAAAIAIdO4kBgBuqUyAEAAIsDAAAOAAAAAAAAAAEAIAAAAB8BAABkcnMvZTJvRG9j&#10;LnhtbFBLBQYAAAAABgAGAFkBAABZ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18415" b="1905"/>
              <wp:wrapNone/>
              <wp:docPr id="7" name="文本框 13"/>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w:t>
                          </w:r>
                          <w:r>
                            <w:rPr>
                              <w:rFonts w:hint="eastAsia"/>
                              <w:sz w:val="18"/>
                            </w:rPr>
                            <w:fldChar w:fldCharType="end"/>
                          </w:r>
                        </w:p>
                      </w:txbxContent>
                    </wps:txbx>
                    <wps:bodyPr wrap="none" lIns="0" tIns="0" rIns="0" bIns="0">
                      <a:spAutoFit/>
                    </wps:bodyPr>
                  </wps:wsp>
                </a:graphicData>
              </a:graphic>
            </wp:anchor>
          </w:drawing>
        </mc:Choice>
        <mc:Fallback>
          <w:pict>
            <v:shape id="文本框 13"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A0aQrvIAQAAiwMAAA4AAABkcnMvZTJvRG9jLnhtbK1TS27bMBDdF8gd&#10;CO5jWklcB4LloIWRIEDRFkh7AJqiLAL8gUNb8gXaG3TVTfc9l8+RISU7n26y6IYazozezHszXNz0&#10;RpOdDKCcrWgxmVIirXC1spuKfv92e35NCURua66dlRXdS6A3y7N3i86X8sK1TtcyEASxUHa+om2M&#10;vmQMRCsNh4nz0mKwccHwiNewYXXgHaIbzS6m0/esc6H2wQkJgN7VEKQjYngLoGsaJeTKia2RNg6o&#10;QWoekRK0ygNd5m6bRor4pWlARqIrikxjPrEI2ut0suWCl5vAfavE2AJ/SwuvOBmuLBY9Qa145GQb&#10;1D9QRongwDVxIpxhA5GsCLIopq+0eWi5l5kLSg3+JDr8P1jxefc1EFVXdE6J5QYHfvj18/D77+HP&#10;D1JcJn06DyWmPXhMjP1H1+PWHP2AzkS7b4JJXyREMI7q7k/qyj4Sgc7ZfH49o0RgpLgsrq5mCYQ9&#10;/esDxDvpDElGRQPOLkvKd58gDqnHlFTKululdZ6fti8ciJk8LDU+NJis2K/7kc3a1Xsk0+HYK2px&#10;yynR9xZVTRtyNMLRWI9GqgH+wzZi4dxPQh2gxmI4o8xo3Ke0BM/vOevpDS0f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L3UTQAAAAAgEAAA8AAAAAAAAAAQAgAAAAIgAAAGRycy9kb3ducmV2Lnht&#10;bFBLAQIUABQAAAAIAIdO4kANGkK7yAEAAIsDAAAOAAAAAAAAAAEAIAAAAB8BAABkcnMvZTJvRG9j&#10;LnhtbFBLBQYAAAAABgAGAFkBAABZBQ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3</w:t>
                    </w:r>
                    <w:r>
                      <w:rPr>
                        <w:rFonts w:hint="eastAsia"/>
                        <w:sz w:val="1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r>
      <w:fldChar w:fldCharType="begin"/>
    </w:r>
    <w:r>
      <w:instrText xml:space="preserve">PAGE   \* MERGEFORMAT</w:instrText>
    </w:r>
    <w:r>
      <w:fldChar w:fldCharType="separate"/>
    </w:r>
    <w:r>
      <w:rPr>
        <w:lang w:val="zh-CN"/>
      </w:rPr>
      <w:t>132</w:t>
    </w:r>
    <w:r>
      <w:rPr>
        <w:lang w:val="zh-CN"/>
      </w:rPr>
      <w:fldChar w:fldCharType="end"/>
    </w:r>
  </w:p>
  <w:p>
    <w:pPr>
      <w:pStyle w:val="17"/>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FF84A8"/>
    <w:multiLevelType w:val="singleLevel"/>
    <w:tmpl w:val="DCFF84A8"/>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5EA"/>
    <w:rsid w:val="00001C57"/>
    <w:rsid w:val="0000504C"/>
    <w:rsid w:val="00006BE3"/>
    <w:rsid w:val="00007801"/>
    <w:rsid w:val="00011106"/>
    <w:rsid w:val="000117A4"/>
    <w:rsid w:val="000120DC"/>
    <w:rsid w:val="000156D3"/>
    <w:rsid w:val="000174BF"/>
    <w:rsid w:val="0001791D"/>
    <w:rsid w:val="00017BDC"/>
    <w:rsid w:val="00021A64"/>
    <w:rsid w:val="00026375"/>
    <w:rsid w:val="00030470"/>
    <w:rsid w:val="00030F0C"/>
    <w:rsid w:val="000329A4"/>
    <w:rsid w:val="00037B98"/>
    <w:rsid w:val="00040999"/>
    <w:rsid w:val="00040C1B"/>
    <w:rsid w:val="00041EB2"/>
    <w:rsid w:val="0004360D"/>
    <w:rsid w:val="000445A7"/>
    <w:rsid w:val="000469C8"/>
    <w:rsid w:val="00046CE2"/>
    <w:rsid w:val="00050CDC"/>
    <w:rsid w:val="0005145E"/>
    <w:rsid w:val="000518CE"/>
    <w:rsid w:val="0005258D"/>
    <w:rsid w:val="0005289A"/>
    <w:rsid w:val="00053409"/>
    <w:rsid w:val="00053B83"/>
    <w:rsid w:val="00054646"/>
    <w:rsid w:val="000547C6"/>
    <w:rsid w:val="000560CE"/>
    <w:rsid w:val="00056A7A"/>
    <w:rsid w:val="00057757"/>
    <w:rsid w:val="00061323"/>
    <w:rsid w:val="0006294C"/>
    <w:rsid w:val="00065198"/>
    <w:rsid w:val="00066651"/>
    <w:rsid w:val="00066F95"/>
    <w:rsid w:val="00070166"/>
    <w:rsid w:val="00073F71"/>
    <w:rsid w:val="00074E4F"/>
    <w:rsid w:val="00074FBE"/>
    <w:rsid w:val="0007664A"/>
    <w:rsid w:val="00076DEB"/>
    <w:rsid w:val="000772AD"/>
    <w:rsid w:val="00081E35"/>
    <w:rsid w:val="00081FDF"/>
    <w:rsid w:val="000834FD"/>
    <w:rsid w:val="000849B8"/>
    <w:rsid w:val="0008544E"/>
    <w:rsid w:val="000931CB"/>
    <w:rsid w:val="000943AE"/>
    <w:rsid w:val="0009462E"/>
    <w:rsid w:val="00094E53"/>
    <w:rsid w:val="00097CE0"/>
    <w:rsid w:val="000A144B"/>
    <w:rsid w:val="000A1B96"/>
    <w:rsid w:val="000A205A"/>
    <w:rsid w:val="000A2541"/>
    <w:rsid w:val="000A3915"/>
    <w:rsid w:val="000A3F76"/>
    <w:rsid w:val="000A42D1"/>
    <w:rsid w:val="000A5C4B"/>
    <w:rsid w:val="000A5F0B"/>
    <w:rsid w:val="000A73E9"/>
    <w:rsid w:val="000B2544"/>
    <w:rsid w:val="000B29C6"/>
    <w:rsid w:val="000B5A7B"/>
    <w:rsid w:val="000B7E93"/>
    <w:rsid w:val="000C0A58"/>
    <w:rsid w:val="000C2D8C"/>
    <w:rsid w:val="000C36F2"/>
    <w:rsid w:val="000C3FEA"/>
    <w:rsid w:val="000C427C"/>
    <w:rsid w:val="000C4DCD"/>
    <w:rsid w:val="000C53B0"/>
    <w:rsid w:val="000C5790"/>
    <w:rsid w:val="000C6684"/>
    <w:rsid w:val="000C7502"/>
    <w:rsid w:val="000C78EC"/>
    <w:rsid w:val="000D0EE7"/>
    <w:rsid w:val="000D1EF3"/>
    <w:rsid w:val="000D2036"/>
    <w:rsid w:val="000D5B58"/>
    <w:rsid w:val="000D5E70"/>
    <w:rsid w:val="000D60E9"/>
    <w:rsid w:val="000D61A2"/>
    <w:rsid w:val="000D6A62"/>
    <w:rsid w:val="000E0844"/>
    <w:rsid w:val="000E0F5C"/>
    <w:rsid w:val="000E35E2"/>
    <w:rsid w:val="000E67E3"/>
    <w:rsid w:val="000E69D5"/>
    <w:rsid w:val="000E6DF1"/>
    <w:rsid w:val="000F6D46"/>
    <w:rsid w:val="000F7FAB"/>
    <w:rsid w:val="00101CE9"/>
    <w:rsid w:val="00101E7B"/>
    <w:rsid w:val="00101FFC"/>
    <w:rsid w:val="00103932"/>
    <w:rsid w:val="001111CD"/>
    <w:rsid w:val="00112ED5"/>
    <w:rsid w:val="00113098"/>
    <w:rsid w:val="00114085"/>
    <w:rsid w:val="001146E5"/>
    <w:rsid w:val="0011522E"/>
    <w:rsid w:val="00115BD3"/>
    <w:rsid w:val="0011620E"/>
    <w:rsid w:val="00116CDF"/>
    <w:rsid w:val="001200F0"/>
    <w:rsid w:val="00120190"/>
    <w:rsid w:val="001220A7"/>
    <w:rsid w:val="001248F6"/>
    <w:rsid w:val="0012735F"/>
    <w:rsid w:val="001273C9"/>
    <w:rsid w:val="0013188C"/>
    <w:rsid w:val="001346D5"/>
    <w:rsid w:val="00134903"/>
    <w:rsid w:val="00135077"/>
    <w:rsid w:val="0013525F"/>
    <w:rsid w:val="001363F8"/>
    <w:rsid w:val="001375DC"/>
    <w:rsid w:val="00137731"/>
    <w:rsid w:val="001427FA"/>
    <w:rsid w:val="001439C5"/>
    <w:rsid w:val="00143A03"/>
    <w:rsid w:val="00144C0D"/>
    <w:rsid w:val="00144C5F"/>
    <w:rsid w:val="001462FF"/>
    <w:rsid w:val="0014655D"/>
    <w:rsid w:val="00151A77"/>
    <w:rsid w:val="0015319A"/>
    <w:rsid w:val="00156607"/>
    <w:rsid w:val="001570E0"/>
    <w:rsid w:val="00160A9A"/>
    <w:rsid w:val="00161AB2"/>
    <w:rsid w:val="00161F49"/>
    <w:rsid w:val="00164062"/>
    <w:rsid w:val="001642D3"/>
    <w:rsid w:val="001679AF"/>
    <w:rsid w:val="00170B0A"/>
    <w:rsid w:val="0017217C"/>
    <w:rsid w:val="0017546A"/>
    <w:rsid w:val="00175A86"/>
    <w:rsid w:val="00175C7C"/>
    <w:rsid w:val="00176C5C"/>
    <w:rsid w:val="00177FC2"/>
    <w:rsid w:val="001805E2"/>
    <w:rsid w:val="00182693"/>
    <w:rsid w:val="00186193"/>
    <w:rsid w:val="0019083E"/>
    <w:rsid w:val="001930DF"/>
    <w:rsid w:val="0019352E"/>
    <w:rsid w:val="00196B64"/>
    <w:rsid w:val="00196E8E"/>
    <w:rsid w:val="0019760E"/>
    <w:rsid w:val="001A0D83"/>
    <w:rsid w:val="001A2053"/>
    <w:rsid w:val="001A33B7"/>
    <w:rsid w:val="001A3F45"/>
    <w:rsid w:val="001A47FE"/>
    <w:rsid w:val="001A5E20"/>
    <w:rsid w:val="001A6E9B"/>
    <w:rsid w:val="001A74A1"/>
    <w:rsid w:val="001B0E25"/>
    <w:rsid w:val="001B2C40"/>
    <w:rsid w:val="001B5C52"/>
    <w:rsid w:val="001B6A06"/>
    <w:rsid w:val="001B78A7"/>
    <w:rsid w:val="001C0745"/>
    <w:rsid w:val="001C2C57"/>
    <w:rsid w:val="001C5906"/>
    <w:rsid w:val="001C5A61"/>
    <w:rsid w:val="001C5F1A"/>
    <w:rsid w:val="001C6563"/>
    <w:rsid w:val="001C6B9D"/>
    <w:rsid w:val="001D05F4"/>
    <w:rsid w:val="001D1D2F"/>
    <w:rsid w:val="001D2F7B"/>
    <w:rsid w:val="001D789E"/>
    <w:rsid w:val="001E09CC"/>
    <w:rsid w:val="001E126F"/>
    <w:rsid w:val="001E72B9"/>
    <w:rsid w:val="001E74D3"/>
    <w:rsid w:val="001F031E"/>
    <w:rsid w:val="001F1494"/>
    <w:rsid w:val="001F17C8"/>
    <w:rsid w:val="001F53B2"/>
    <w:rsid w:val="001F7DAA"/>
    <w:rsid w:val="00201ABB"/>
    <w:rsid w:val="00201C7F"/>
    <w:rsid w:val="002039A3"/>
    <w:rsid w:val="00205F85"/>
    <w:rsid w:val="00207135"/>
    <w:rsid w:val="0021082A"/>
    <w:rsid w:val="00210ED0"/>
    <w:rsid w:val="00211943"/>
    <w:rsid w:val="002164C9"/>
    <w:rsid w:val="0021680D"/>
    <w:rsid w:val="00225A0F"/>
    <w:rsid w:val="00230916"/>
    <w:rsid w:val="00231615"/>
    <w:rsid w:val="002324AB"/>
    <w:rsid w:val="0023336A"/>
    <w:rsid w:val="00234311"/>
    <w:rsid w:val="002343EE"/>
    <w:rsid w:val="00234C3E"/>
    <w:rsid w:val="00234C6E"/>
    <w:rsid w:val="00235385"/>
    <w:rsid w:val="00240790"/>
    <w:rsid w:val="002417D1"/>
    <w:rsid w:val="002436B4"/>
    <w:rsid w:val="0024571B"/>
    <w:rsid w:val="0025302D"/>
    <w:rsid w:val="00253D9C"/>
    <w:rsid w:val="0025445F"/>
    <w:rsid w:val="00255215"/>
    <w:rsid w:val="00255725"/>
    <w:rsid w:val="0026074E"/>
    <w:rsid w:val="00261D50"/>
    <w:rsid w:val="00262BAA"/>
    <w:rsid w:val="002640A0"/>
    <w:rsid w:val="002703ED"/>
    <w:rsid w:val="00270AD1"/>
    <w:rsid w:val="00273970"/>
    <w:rsid w:val="00275E17"/>
    <w:rsid w:val="00276267"/>
    <w:rsid w:val="00276F8A"/>
    <w:rsid w:val="00277661"/>
    <w:rsid w:val="00282514"/>
    <w:rsid w:val="0028279C"/>
    <w:rsid w:val="00283050"/>
    <w:rsid w:val="0028578F"/>
    <w:rsid w:val="002863C5"/>
    <w:rsid w:val="00287B6F"/>
    <w:rsid w:val="00291FD1"/>
    <w:rsid w:val="0029226B"/>
    <w:rsid w:val="00297DB4"/>
    <w:rsid w:val="002A1332"/>
    <w:rsid w:val="002A2459"/>
    <w:rsid w:val="002A38CF"/>
    <w:rsid w:val="002A48B1"/>
    <w:rsid w:val="002A639C"/>
    <w:rsid w:val="002A7385"/>
    <w:rsid w:val="002B0511"/>
    <w:rsid w:val="002B05ED"/>
    <w:rsid w:val="002B082E"/>
    <w:rsid w:val="002B0984"/>
    <w:rsid w:val="002B118E"/>
    <w:rsid w:val="002B33EB"/>
    <w:rsid w:val="002B4BDF"/>
    <w:rsid w:val="002B720E"/>
    <w:rsid w:val="002C0CA6"/>
    <w:rsid w:val="002C0F8E"/>
    <w:rsid w:val="002C173B"/>
    <w:rsid w:val="002C39D3"/>
    <w:rsid w:val="002C503F"/>
    <w:rsid w:val="002D0C46"/>
    <w:rsid w:val="002D1BE8"/>
    <w:rsid w:val="002D1CDC"/>
    <w:rsid w:val="002D31AA"/>
    <w:rsid w:val="002D35DF"/>
    <w:rsid w:val="002D3977"/>
    <w:rsid w:val="002D6266"/>
    <w:rsid w:val="002D76E1"/>
    <w:rsid w:val="002E1169"/>
    <w:rsid w:val="002E1273"/>
    <w:rsid w:val="002E3468"/>
    <w:rsid w:val="002E3599"/>
    <w:rsid w:val="002E6991"/>
    <w:rsid w:val="002E7BCC"/>
    <w:rsid w:val="002F17FB"/>
    <w:rsid w:val="002F304D"/>
    <w:rsid w:val="002F3649"/>
    <w:rsid w:val="002F3727"/>
    <w:rsid w:val="002F4298"/>
    <w:rsid w:val="002F44D8"/>
    <w:rsid w:val="002F4B98"/>
    <w:rsid w:val="002F4C39"/>
    <w:rsid w:val="002F52D6"/>
    <w:rsid w:val="002F5C01"/>
    <w:rsid w:val="002F6901"/>
    <w:rsid w:val="002F7446"/>
    <w:rsid w:val="0030087E"/>
    <w:rsid w:val="003018B5"/>
    <w:rsid w:val="00301A88"/>
    <w:rsid w:val="00301A94"/>
    <w:rsid w:val="00301EB4"/>
    <w:rsid w:val="00306511"/>
    <w:rsid w:val="00307DC3"/>
    <w:rsid w:val="00310C4B"/>
    <w:rsid w:val="00311300"/>
    <w:rsid w:val="00313044"/>
    <w:rsid w:val="00313083"/>
    <w:rsid w:val="00313BF0"/>
    <w:rsid w:val="00314A29"/>
    <w:rsid w:val="0031756E"/>
    <w:rsid w:val="00317B2C"/>
    <w:rsid w:val="00325407"/>
    <w:rsid w:val="00326424"/>
    <w:rsid w:val="00326B2C"/>
    <w:rsid w:val="003274F7"/>
    <w:rsid w:val="00330E5E"/>
    <w:rsid w:val="003314AB"/>
    <w:rsid w:val="00333BFC"/>
    <w:rsid w:val="00340C60"/>
    <w:rsid w:val="003424C9"/>
    <w:rsid w:val="00342658"/>
    <w:rsid w:val="003427DA"/>
    <w:rsid w:val="00343632"/>
    <w:rsid w:val="00347335"/>
    <w:rsid w:val="003476A0"/>
    <w:rsid w:val="0034796A"/>
    <w:rsid w:val="0035012F"/>
    <w:rsid w:val="00353502"/>
    <w:rsid w:val="003542BA"/>
    <w:rsid w:val="00357715"/>
    <w:rsid w:val="003623BC"/>
    <w:rsid w:val="00366020"/>
    <w:rsid w:val="003664D6"/>
    <w:rsid w:val="00367F7A"/>
    <w:rsid w:val="00371543"/>
    <w:rsid w:val="0037194A"/>
    <w:rsid w:val="00371B98"/>
    <w:rsid w:val="00373791"/>
    <w:rsid w:val="00374480"/>
    <w:rsid w:val="00374BF2"/>
    <w:rsid w:val="00377451"/>
    <w:rsid w:val="00381518"/>
    <w:rsid w:val="00381A0F"/>
    <w:rsid w:val="00384D39"/>
    <w:rsid w:val="0038550D"/>
    <w:rsid w:val="00385A2A"/>
    <w:rsid w:val="00386C47"/>
    <w:rsid w:val="00390F04"/>
    <w:rsid w:val="00392398"/>
    <w:rsid w:val="00393C66"/>
    <w:rsid w:val="003956C8"/>
    <w:rsid w:val="00395760"/>
    <w:rsid w:val="003957AC"/>
    <w:rsid w:val="00397AE0"/>
    <w:rsid w:val="00397E47"/>
    <w:rsid w:val="003A110F"/>
    <w:rsid w:val="003A2A03"/>
    <w:rsid w:val="003A311E"/>
    <w:rsid w:val="003A3A26"/>
    <w:rsid w:val="003A64DC"/>
    <w:rsid w:val="003A668E"/>
    <w:rsid w:val="003B0547"/>
    <w:rsid w:val="003B0C68"/>
    <w:rsid w:val="003B31BB"/>
    <w:rsid w:val="003B6193"/>
    <w:rsid w:val="003C0CEF"/>
    <w:rsid w:val="003C1098"/>
    <w:rsid w:val="003C160B"/>
    <w:rsid w:val="003C1BBA"/>
    <w:rsid w:val="003C3274"/>
    <w:rsid w:val="003C3FCA"/>
    <w:rsid w:val="003C40AB"/>
    <w:rsid w:val="003C5420"/>
    <w:rsid w:val="003C6DBC"/>
    <w:rsid w:val="003C748C"/>
    <w:rsid w:val="003D2B75"/>
    <w:rsid w:val="003D3EDA"/>
    <w:rsid w:val="003D439B"/>
    <w:rsid w:val="003D5F87"/>
    <w:rsid w:val="003E013E"/>
    <w:rsid w:val="003E3362"/>
    <w:rsid w:val="003E4B58"/>
    <w:rsid w:val="003F0E4B"/>
    <w:rsid w:val="003F3BE4"/>
    <w:rsid w:val="003F6B08"/>
    <w:rsid w:val="0040174A"/>
    <w:rsid w:val="00402147"/>
    <w:rsid w:val="004022B6"/>
    <w:rsid w:val="00402494"/>
    <w:rsid w:val="00403053"/>
    <w:rsid w:val="00404428"/>
    <w:rsid w:val="0040799F"/>
    <w:rsid w:val="00407C61"/>
    <w:rsid w:val="004101BA"/>
    <w:rsid w:val="0041133C"/>
    <w:rsid w:val="0041204A"/>
    <w:rsid w:val="00412E70"/>
    <w:rsid w:val="004244FE"/>
    <w:rsid w:val="00425458"/>
    <w:rsid w:val="00426413"/>
    <w:rsid w:val="00430CBB"/>
    <w:rsid w:val="00434FE2"/>
    <w:rsid w:val="004376CC"/>
    <w:rsid w:val="004443DD"/>
    <w:rsid w:val="0044472E"/>
    <w:rsid w:val="004452C9"/>
    <w:rsid w:val="0044552B"/>
    <w:rsid w:val="0044674C"/>
    <w:rsid w:val="004501E9"/>
    <w:rsid w:val="0045033A"/>
    <w:rsid w:val="00451B7D"/>
    <w:rsid w:val="004523EA"/>
    <w:rsid w:val="00453475"/>
    <w:rsid w:val="0045748F"/>
    <w:rsid w:val="00457C3D"/>
    <w:rsid w:val="00457D0F"/>
    <w:rsid w:val="0046261D"/>
    <w:rsid w:val="00462AA2"/>
    <w:rsid w:val="00464437"/>
    <w:rsid w:val="004665DA"/>
    <w:rsid w:val="004670E8"/>
    <w:rsid w:val="00467748"/>
    <w:rsid w:val="0046778A"/>
    <w:rsid w:val="004677C7"/>
    <w:rsid w:val="00467AB6"/>
    <w:rsid w:val="004745AF"/>
    <w:rsid w:val="00475012"/>
    <w:rsid w:val="00483F2F"/>
    <w:rsid w:val="00486602"/>
    <w:rsid w:val="004870EB"/>
    <w:rsid w:val="00487787"/>
    <w:rsid w:val="00491113"/>
    <w:rsid w:val="00491D0A"/>
    <w:rsid w:val="0049492D"/>
    <w:rsid w:val="00494CA3"/>
    <w:rsid w:val="004965EA"/>
    <w:rsid w:val="004969CC"/>
    <w:rsid w:val="004A1CD4"/>
    <w:rsid w:val="004A34D0"/>
    <w:rsid w:val="004A45D1"/>
    <w:rsid w:val="004A524B"/>
    <w:rsid w:val="004A63C2"/>
    <w:rsid w:val="004A7281"/>
    <w:rsid w:val="004A7E86"/>
    <w:rsid w:val="004B0222"/>
    <w:rsid w:val="004B0603"/>
    <w:rsid w:val="004C01B3"/>
    <w:rsid w:val="004C0CEF"/>
    <w:rsid w:val="004C1A99"/>
    <w:rsid w:val="004C5AE6"/>
    <w:rsid w:val="004C5C53"/>
    <w:rsid w:val="004C6283"/>
    <w:rsid w:val="004C6F14"/>
    <w:rsid w:val="004C7A83"/>
    <w:rsid w:val="004D06B9"/>
    <w:rsid w:val="004D107C"/>
    <w:rsid w:val="004D1C7C"/>
    <w:rsid w:val="004D5A73"/>
    <w:rsid w:val="004D60BE"/>
    <w:rsid w:val="004D7CD0"/>
    <w:rsid w:val="004E070E"/>
    <w:rsid w:val="004E077C"/>
    <w:rsid w:val="004E1425"/>
    <w:rsid w:val="004E19C7"/>
    <w:rsid w:val="004E3600"/>
    <w:rsid w:val="004F0087"/>
    <w:rsid w:val="004F2BDA"/>
    <w:rsid w:val="00500A46"/>
    <w:rsid w:val="00502D64"/>
    <w:rsid w:val="00503888"/>
    <w:rsid w:val="00504B74"/>
    <w:rsid w:val="00505A05"/>
    <w:rsid w:val="00507186"/>
    <w:rsid w:val="005108BF"/>
    <w:rsid w:val="005120BA"/>
    <w:rsid w:val="00515732"/>
    <w:rsid w:val="005179B9"/>
    <w:rsid w:val="00521120"/>
    <w:rsid w:val="005218EC"/>
    <w:rsid w:val="0053093D"/>
    <w:rsid w:val="005324CD"/>
    <w:rsid w:val="00533F5D"/>
    <w:rsid w:val="005371FC"/>
    <w:rsid w:val="00537A4E"/>
    <w:rsid w:val="00537E03"/>
    <w:rsid w:val="005404BE"/>
    <w:rsid w:val="00540C5D"/>
    <w:rsid w:val="00550482"/>
    <w:rsid w:val="005537F1"/>
    <w:rsid w:val="0055741E"/>
    <w:rsid w:val="005574D4"/>
    <w:rsid w:val="0055782B"/>
    <w:rsid w:val="00560114"/>
    <w:rsid w:val="0056129F"/>
    <w:rsid w:val="0056457A"/>
    <w:rsid w:val="005656D1"/>
    <w:rsid w:val="00571F6B"/>
    <w:rsid w:val="00572F9E"/>
    <w:rsid w:val="00573CF3"/>
    <w:rsid w:val="00573DFD"/>
    <w:rsid w:val="005746E0"/>
    <w:rsid w:val="00575839"/>
    <w:rsid w:val="00575F48"/>
    <w:rsid w:val="00575FAF"/>
    <w:rsid w:val="0057692A"/>
    <w:rsid w:val="00576F6E"/>
    <w:rsid w:val="00577017"/>
    <w:rsid w:val="00577980"/>
    <w:rsid w:val="00577F66"/>
    <w:rsid w:val="00580AF9"/>
    <w:rsid w:val="0058115B"/>
    <w:rsid w:val="005815F8"/>
    <w:rsid w:val="00582DD9"/>
    <w:rsid w:val="00583469"/>
    <w:rsid w:val="005865E0"/>
    <w:rsid w:val="005868C4"/>
    <w:rsid w:val="00586A71"/>
    <w:rsid w:val="005904D4"/>
    <w:rsid w:val="00590C91"/>
    <w:rsid w:val="005922CE"/>
    <w:rsid w:val="0059234E"/>
    <w:rsid w:val="00592881"/>
    <w:rsid w:val="0059620E"/>
    <w:rsid w:val="0059663A"/>
    <w:rsid w:val="005A060D"/>
    <w:rsid w:val="005A0C98"/>
    <w:rsid w:val="005A1A33"/>
    <w:rsid w:val="005A3456"/>
    <w:rsid w:val="005A42FC"/>
    <w:rsid w:val="005A4794"/>
    <w:rsid w:val="005B1DF8"/>
    <w:rsid w:val="005B34DC"/>
    <w:rsid w:val="005B3B60"/>
    <w:rsid w:val="005B3E54"/>
    <w:rsid w:val="005B50DB"/>
    <w:rsid w:val="005B529F"/>
    <w:rsid w:val="005B5900"/>
    <w:rsid w:val="005B5C26"/>
    <w:rsid w:val="005B7379"/>
    <w:rsid w:val="005C1A43"/>
    <w:rsid w:val="005C2EAB"/>
    <w:rsid w:val="005C5FA2"/>
    <w:rsid w:val="005D231E"/>
    <w:rsid w:val="005D2999"/>
    <w:rsid w:val="005D39AE"/>
    <w:rsid w:val="005D3E30"/>
    <w:rsid w:val="005D5D18"/>
    <w:rsid w:val="005D77E8"/>
    <w:rsid w:val="005D7881"/>
    <w:rsid w:val="005E1F42"/>
    <w:rsid w:val="005E22AD"/>
    <w:rsid w:val="005E5272"/>
    <w:rsid w:val="005E5A43"/>
    <w:rsid w:val="005E7141"/>
    <w:rsid w:val="005E73BD"/>
    <w:rsid w:val="005F04FA"/>
    <w:rsid w:val="005F143D"/>
    <w:rsid w:val="005F4175"/>
    <w:rsid w:val="005F5591"/>
    <w:rsid w:val="005F757D"/>
    <w:rsid w:val="00600A1A"/>
    <w:rsid w:val="006016E0"/>
    <w:rsid w:val="0060286D"/>
    <w:rsid w:val="00610D4C"/>
    <w:rsid w:val="00611C68"/>
    <w:rsid w:val="0061504F"/>
    <w:rsid w:val="00615946"/>
    <w:rsid w:val="0062109A"/>
    <w:rsid w:val="00625F71"/>
    <w:rsid w:val="006269A3"/>
    <w:rsid w:val="00627118"/>
    <w:rsid w:val="006322A3"/>
    <w:rsid w:val="00632372"/>
    <w:rsid w:val="00633115"/>
    <w:rsid w:val="006371BD"/>
    <w:rsid w:val="00637C63"/>
    <w:rsid w:val="00641169"/>
    <w:rsid w:val="00641C32"/>
    <w:rsid w:val="0064789B"/>
    <w:rsid w:val="0065133D"/>
    <w:rsid w:val="00656394"/>
    <w:rsid w:val="00660414"/>
    <w:rsid w:val="00663612"/>
    <w:rsid w:val="00663B84"/>
    <w:rsid w:val="006658BC"/>
    <w:rsid w:val="00667AE3"/>
    <w:rsid w:val="00667C8F"/>
    <w:rsid w:val="00667D62"/>
    <w:rsid w:val="006749FC"/>
    <w:rsid w:val="00674B80"/>
    <w:rsid w:val="00676F56"/>
    <w:rsid w:val="006778DC"/>
    <w:rsid w:val="00680352"/>
    <w:rsid w:val="0068054E"/>
    <w:rsid w:val="00680E0D"/>
    <w:rsid w:val="00682C5E"/>
    <w:rsid w:val="00690463"/>
    <w:rsid w:val="00690737"/>
    <w:rsid w:val="0069075A"/>
    <w:rsid w:val="00690C33"/>
    <w:rsid w:val="00693799"/>
    <w:rsid w:val="006940D2"/>
    <w:rsid w:val="006961C2"/>
    <w:rsid w:val="00696821"/>
    <w:rsid w:val="00696F2F"/>
    <w:rsid w:val="006978B1"/>
    <w:rsid w:val="0069790C"/>
    <w:rsid w:val="006A209E"/>
    <w:rsid w:val="006A2DC9"/>
    <w:rsid w:val="006A395D"/>
    <w:rsid w:val="006A406F"/>
    <w:rsid w:val="006A4DB5"/>
    <w:rsid w:val="006A7801"/>
    <w:rsid w:val="006A78E3"/>
    <w:rsid w:val="006B1881"/>
    <w:rsid w:val="006B21E1"/>
    <w:rsid w:val="006B351C"/>
    <w:rsid w:val="006B42D2"/>
    <w:rsid w:val="006B5798"/>
    <w:rsid w:val="006C1C81"/>
    <w:rsid w:val="006C3757"/>
    <w:rsid w:val="006C44D7"/>
    <w:rsid w:val="006C4B50"/>
    <w:rsid w:val="006C5194"/>
    <w:rsid w:val="006C5621"/>
    <w:rsid w:val="006D1AB0"/>
    <w:rsid w:val="006D1B25"/>
    <w:rsid w:val="006D1D28"/>
    <w:rsid w:val="006D25CC"/>
    <w:rsid w:val="006D336B"/>
    <w:rsid w:val="006D3ACC"/>
    <w:rsid w:val="006D5BA6"/>
    <w:rsid w:val="006D61CB"/>
    <w:rsid w:val="006E0963"/>
    <w:rsid w:val="006E1852"/>
    <w:rsid w:val="006E55FC"/>
    <w:rsid w:val="006E688F"/>
    <w:rsid w:val="006E771B"/>
    <w:rsid w:val="006F0CA5"/>
    <w:rsid w:val="006F1C14"/>
    <w:rsid w:val="006F26BD"/>
    <w:rsid w:val="006F49A5"/>
    <w:rsid w:val="006F5565"/>
    <w:rsid w:val="006F5862"/>
    <w:rsid w:val="006F6335"/>
    <w:rsid w:val="006F67F7"/>
    <w:rsid w:val="006F7F1D"/>
    <w:rsid w:val="0070318D"/>
    <w:rsid w:val="00704C12"/>
    <w:rsid w:val="00704FC5"/>
    <w:rsid w:val="00705D48"/>
    <w:rsid w:val="00707F6E"/>
    <w:rsid w:val="00710E4D"/>
    <w:rsid w:val="00713C3A"/>
    <w:rsid w:val="0071501E"/>
    <w:rsid w:val="00715420"/>
    <w:rsid w:val="00716830"/>
    <w:rsid w:val="00717C7F"/>
    <w:rsid w:val="00720178"/>
    <w:rsid w:val="007201D5"/>
    <w:rsid w:val="007213A5"/>
    <w:rsid w:val="007220E9"/>
    <w:rsid w:val="007223D7"/>
    <w:rsid w:val="00730CEB"/>
    <w:rsid w:val="00732000"/>
    <w:rsid w:val="0073361D"/>
    <w:rsid w:val="007359B4"/>
    <w:rsid w:val="00737E74"/>
    <w:rsid w:val="00742021"/>
    <w:rsid w:val="00745DF2"/>
    <w:rsid w:val="007464D8"/>
    <w:rsid w:val="007467CB"/>
    <w:rsid w:val="00747914"/>
    <w:rsid w:val="00752788"/>
    <w:rsid w:val="00752E13"/>
    <w:rsid w:val="00753C61"/>
    <w:rsid w:val="007542A0"/>
    <w:rsid w:val="00757BCF"/>
    <w:rsid w:val="007600C6"/>
    <w:rsid w:val="007609FD"/>
    <w:rsid w:val="00760CF5"/>
    <w:rsid w:val="007653C8"/>
    <w:rsid w:val="007701FF"/>
    <w:rsid w:val="007714D2"/>
    <w:rsid w:val="007742AF"/>
    <w:rsid w:val="0077564F"/>
    <w:rsid w:val="00777AAF"/>
    <w:rsid w:val="007808EB"/>
    <w:rsid w:val="0078271C"/>
    <w:rsid w:val="00783B4D"/>
    <w:rsid w:val="00784403"/>
    <w:rsid w:val="00785B97"/>
    <w:rsid w:val="00787052"/>
    <w:rsid w:val="007872A5"/>
    <w:rsid w:val="007908A5"/>
    <w:rsid w:val="00791330"/>
    <w:rsid w:val="00791E31"/>
    <w:rsid w:val="007938C4"/>
    <w:rsid w:val="00793E78"/>
    <w:rsid w:val="00794868"/>
    <w:rsid w:val="0079703E"/>
    <w:rsid w:val="00797D7F"/>
    <w:rsid w:val="007A0321"/>
    <w:rsid w:val="007A2CA7"/>
    <w:rsid w:val="007A36A2"/>
    <w:rsid w:val="007A5AD6"/>
    <w:rsid w:val="007B322C"/>
    <w:rsid w:val="007B3388"/>
    <w:rsid w:val="007B3C4F"/>
    <w:rsid w:val="007B5F3D"/>
    <w:rsid w:val="007B731C"/>
    <w:rsid w:val="007B73B9"/>
    <w:rsid w:val="007C00AE"/>
    <w:rsid w:val="007C0704"/>
    <w:rsid w:val="007C1F6C"/>
    <w:rsid w:val="007C46AD"/>
    <w:rsid w:val="007C46C2"/>
    <w:rsid w:val="007C6895"/>
    <w:rsid w:val="007C6E5F"/>
    <w:rsid w:val="007C7F17"/>
    <w:rsid w:val="007D28BE"/>
    <w:rsid w:val="007D2E9F"/>
    <w:rsid w:val="007D3862"/>
    <w:rsid w:val="007D60E7"/>
    <w:rsid w:val="007D69C5"/>
    <w:rsid w:val="007D7435"/>
    <w:rsid w:val="007D7B63"/>
    <w:rsid w:val="007E1D8E"/>
    <w:rsid w:val="007E1E95"/>
    <w:rsid w:val="007E28A0"/>
    <w:rsid w:val="007E299D"/>
    <w:rsid w:val="007E36A6"/>
    <w:rsid w:val="007E4194"/>
    <w:rsid w:val="007E4FB9"/>
    <w:rsid w:val="007E568A"/>
    <w:rsid w:val="007E6315"/>
    <w:rsid w:val="007F3E5E"/>
    <w:rsid w:val="007F76ED"/>
    <w:rsid w:val="00801EB4"/>
    <w:rsid w:val="00803A3E"/>
    <w:rsid w:val="0080563F"/>
    <w:rsid w:val="00806EF9"/>
    <w:rsid w:val="0080705D"/>
    <w:rsid w:val="008106E9"/>
    <w:rsid w:val="00810D58"/>
    <w:rsid w:val="00811679"/>
    <w:rsid w:val="0081172D"/>
    <w:rsid w:val="008123D6"/>
    <w:rsid w:val="008127C3"/>
    <w:rsid w:val="00814F6C"/>
    <w:rsid w:val="00815CAB"/>
    <w:rsid w:val="008172C1"/>
    <w:rsid w:val="0082084C"/>
    <w:rsid w:val="00821581"/>
    <w:rsid w:val="00821752"/>
    <w:rsid w:val="0082190E"/>
    <w:rsid w:val="008242BE"/>
    <w:rsid w:val="0082580F"/>
    <w:rsid w:val="00825C93"/>
    <w:rsid w:val="00827783"/>
    <w:rsid w:val="008315A6"/>
    <w:rsid w:val="008318C3"/>
    <w:rsid w:val="00832983"/>
    <w:rsid w:val="0083726C"/>
    <w:rsid w:val="00837FB9"/>
    <w:rsid w:val="008419AC"/>
    <w:rsid w:val="0084255C"/>
    <w:rsid w:val="008439D5"/>
    <w:rsid w:val="008445FB"/>
    <w:rsid w:val="008459E8"/>
    <w:rsid w:val="00847665"/>
    <w:rsid w:val="0085238A"/>
    <w:rsid w:val="008525B7"/>
    <w:rsid w:val="00855F88"/>
    <w:rsid w:val="0085659D"/>
    <w:rsid w:val="00857CBA"/>
    <w:rsid w:val="008603BF"/>
    <w:rsid w:val="00862824"/>
    <w:rsid w:val="00863F3A"/>
    <w:rsid w:val="008652E7"/>
    <w:rsid w:val="0087053C"/>
    <w:rsid w:val="00871C6E"/>
    <w:rsid w:val="00874D68"/>
    <w:rsid w:val="008802F7"/>
    <w:rsid w:val="0088231B"/>
    <w:rsid w:val="00884156"/>
    <w:rsid w:val="00884489"/>
    <w:rsid w:val="008845D7"/>
    <w:rsid w:val="008845D8"/>
    <w:rsid w:val="00884BF5"/>
    <w:rsid w:val="00885F2B"/>
    <w:rsid w:val="0088614F"/>
    <w:rsid w:val="0088725F"/>
    <w:rsid w:val="00887EFB"/>
    <w:rsid w:val="00887FA5"/>
    <w:rsid w:val="00890B47"/>
    <w:rsid w:val="008914A4"/>
    <w:rsid w:val="00893067"/>
    <w:rsid w:val="008967BA"/>
    <w:rsid w:val="008A078C"/>
    <w:rsid w:val="008A2158"/>
    <w:rsid w:val="008B006E"/>
    <w:rsid w:val="008B08F6"/>
    <w:rsid w:val="008B0FC8"/>
    <w:rsid w:val="008B24A1"/>
    <w:rsid w:val="008B2906"/>
    <w:rsid w:val="008B343F"/>
    <w:rsid w:val="008B3BC8"/>
    <w:rsid w:val="008B4C0C"/>
    <w:rsid w:val="008B4C33"/>
    <w:rsid w:val="008B5020"/>
    <w:rsid w:val="008B5D72"/>
    <w:rsid w:val="008B5F71"/>
    <w:rsid w:val="008B6927"/>
    <w:rsid w:val="008B7655"/>
    <w:rsid w:val="008B7739"/>
    <w:rsid w:val="008C12E8"/>
    <w:rsid w:val="008C14C0"/>
    <w:rsid w:val="008C2656"/>
    <w:rsid w:val="008C40D5"/>
    <w:rsid w:val="008C433D"/>
    <w:rsid w:val="008C5145"/>
    <w:rsid w:val="008D0C27"/>
    <w:rsid w:val="008D1170"/>
    <w:rsid w:val="008D2474"/>
    <w:rsid w:val="008D2518"/>
    <w:rsid w:val="008D37CD"/>
    <w:rsid w:val="008D5933"/>
    <w:rsid w:val="008E0F00"/>
    <w:rsid w:val="008E1A4B"/>
    <w:rsid w:val="008E20E4"/>
    <w:rsid w:val="008E3B54"/>
    <w:rsid w:val="008E41C9"/>
    <w:rsid w:val="008E4435"/>
    <w:rsid w:val="008E4C2C"/>
    <w:rsid w:val="008E61D0"/>
    <w:rsid w:val="008E77EF"/>
    <w:rsid w:val="008F10F0"/>
    <w:rsid w:val="008F26BE"/>
    <w:rsid w:val="008F33E3"/>
    <w:rsid w:val="008F558B"/>
    <w:rsid w:val="008F5E50"/>
    <w:rsid w:val="008F6933"/>
    <w:rsid w:val="00903F2D"/>
    <w:rsid w:val="00912A5E"/>
    <w:rsid w:val="0091353C"/>
    <w:rsid w:val="00914E1D"/>
    <w:rsid w:val="00915882"/>
    <w:rsid w:val="00917974"/>
    <w:rsid w:val="00921F4B"/>
    <w:rsid w:val="00922E5B"/>
    <w:rsid w:val="0092435D"/>
    <w:rsid w:val="00924846"/>
    <w:rsid w:val="00930995"/>
    <w:rsid w:val="00931835"/>
    <w:rsid w:val="009337CE"/>
    <w:rsid w:val="00934799"/>
    <w:rsid w:val="0093625F"/>
    <w:rsid w:val="00936E44"/>
    <w:rsid w:val="009412A6"/>
    <w:rsid w:val="009412BC"/>
    <w:rsid w:val="0094340E"/>
    <w:rsid w:val="00943C32"/>
    <w:rsid w:val="00947356"/>
    <w:rsid w:val="0095127C"/>
    <w:rsid w:val="009532AC"/>
    <w:rsid w:val="00953415"/>
    <w:rsid w:val="009534CF"/>
    <w:rsid w:val="00953858"/>
    <w:rsid w:val="00953DCD"/>
    <w:rsid w:val="009555C2"/>
    <w:rsid w:val="00955E81"/>
    <w:rsid w:val="00957242"/>
    <w:rsid w:val="00957F54"/>
    <w:rsid w:val="00961FEB"/>
    <w:rsid w:val="00963B69"/>
    <w:rsid w:val="00963E24"/>
    <w:rsid w:val="00964C74"/>
    <w:rsid w:val="00967B45"/>
    <w:rsid w:val="00971232"/>
    <w:rsid w:val="0097149B"/>
    <w:rsid w:val="00971885"/>
    <w:rsid w:val="00971EC6"/>
    <w:rsid w:val="00973431"/>
    <w:rsid w:val="0098021F"/>
    <w:rsid w:val="0098091A"/>
    <w:rsid w:val="00980BBB"/>
    <w:rsid w:val="00981A84"/>
    <w:rsid w:val="009826A8"/>
    <w:rsid w:val="00983E3A"/>
    <w:rsid w:val="00983F15"/>
    <w:rsid w:val="009850E3"/>
    <w:rsid w:val="00985F03"/>
    <w:rsid w:val="0098608B"/>
    <w:rsid w:val="009870C6"/>
    <w:rsid w:val="009876F0"/>
    <w:rsid w:val="00987A4A"/>
    <w:rsid w:val="00990BA3"/>
    <w:rsid w:val="00993AC5"/>
    <w:rsid w:val="0099415E"/>
    <w:rsid w:val="009944F1"/>
    <w:rsid w:val="00994624"/>
    <w:rsid w:val="00997D64"/>
    <w:rsid w:val="009A4087"/>
    <w:rsid w:val="009A5E97"/>
    <w:rsid w:val="009A75A2"/>
    <w:rsid w:val="009B2407"/>
    <w:rsid w:val="009B3749"/>
    <w:rsid w:val="009B405C"/>
    <w:rsid w:val="009B5D09"/>
    <w:rsid w:val="009B7AF3"/>
    <w:rsid w:val="009C01B9"/>
    <w:rsid w:val="009C05A8"/>
    <w:rsid w:val="009C4D9A"/>
    <w:rsid w:val="009C7ABA"/>
    <w:rsid w:val="009D011B"/>
    <w:rsid w:val="009D1986"/>
    <w:rsid w:val="009D2297"/>
    <w:rsid w:val="009D33FF"/>
    <w:rsid w:val="009D7ACF"/>
    <w:rsid w:val="009E193A"/>
    <w:rsid w:val="009E388A"/>
    <w:rsid w:val="009E4323"/>
    <w:rsid w:val="009E467A"/>
    <w:rsid w:val="009E5127"/>
    <w:rsid w:val="009E5760"/>
    <w:rsid w:val="009E61D6"/>
    <w:rsid w:val="009E659E"/>
    <w:rsid w:val="009F1EEB"/>
    <w:rsid w:val="009F2A16"/>
    <w:rsid w:val="009F3466"/>
    <w:rsid w:val="009F6171"/>
    <w:rsid w:val="009F7442"/>
    <w:rsid w:val="00A01B20"/>
    <w:rsid w:val="00A01CF0"/>
    <w:rsid w:val="00A04787"/>
    <w:rsid w:val="00A055A7"/>
    <w:rsid w:val="00A06D78"/>
    <w:rsid w:val="00A11F25"/>
    <w:rsid w:val="00A12094"/>
    <w:rsid w:val="00A138D9"/>
    <w:rsid w:val="00A20A71"/>
    <w:rsid w:val="00A20E28"/>
    <w:rsid w:val="00A217D7"/>
    <w:rsid w:val="00A2231D"/>
    <w:rsid w:val="00A22825"/>
    <w:rsid w:val="00A22AF6"/>
    <w:rsid w:val="00A24804"/>
    <w:rsid w:val="00A24D96"/>
    <w:rsid w:val="00A256E5"/>
    <w:rsid w:val="00A3038E"/>
    <w:rsid w:val="00A3246B"/>
    <w:rsid w:val="00A35EE8"/>
    <w:rsid w:val="00A35F53"/>
    <w:rsid w:val="00A3636A"/>
    <w:rsid w:val="00A3684D"/>
    <w:rsid w:val="00A36F24"/>
    <w:rsid w:val="00A41161"/>
    <w:rsid w:val="00A4329D"/>
    <w:rsid w:val="00A448FA"/>
    <w:rsid w:val="00A46300"/>
    <w:rsid w:val="00A46480"/>
    <w:rsid w:val="00A471BD"/>
    <w:rsid w:val="00A52BE3"/>
    <w:rsid w:val="00A53F36"/>
    <w:rsid w:val="00A54C70"/>
    <w:rsid w:val="00A55572"/>
    <w:rsid w:val="00A55C34"/>
    <w:rsid w:val="00A55E77"/>
    <w:rsid w:val="00A60094"/>
    <w:rsid w:val="00A615CD"/>
    <w:rsid w:val="00A63687"/>
    <w:rsid w:val="00A65A86"/>
    <w:rsid w:val="00A66B51"/>
    <w:rsid w:val="00A7354C"/>
    <w:rsid w:val="00A768E7"/>
    <w:rsid w:val="00A85B68"/>
    <w:rsid w:val="00A90A53"/>
    <w:rsid w:val="00A94DB0"/>
    <w:rsid w:val="00A9721D"/>
    <w:rsid w:val="00A97CFA"/>
    <w:rsid w:val="00AA2152"/>
    <w:rsid w:val="00AA2413"/>
    <w:rsid w:val="00AA34E7"/>
    <w:rsid w:val="00AA4B7E"/>
    <w:rsid w:val="00AA4C9E"/>
    <w:rsid w:val="00AA5966"/>
    <w:rsid w:val="00AA79F4"/>
    <w:rsid w:val="00AB0ACD"/>
    <w:rsid w:val="00AB0F41"/>
    <w:rsid w:val="00AB209D"/>
    <w:rsid w:val="00AB21C8"/>
    <w:rsid w:val="00AB332B"/>
    <w:rsid w:val="00AB4626"/>
    <w:rsid w:val="00AB4939"/>
    <w:rsid w:val="00AC4B9F"/>
    <w:rsid w:val="00AC5569"/>
    <w:rsid w:val="00AC5E0E"/>
    <w:rsid w:val="00AC6140"/>
    <w:rsid w:val="00AC6BC4"/>
    <w:rsid w:val="00AC71CE"/>
    <w:rsid w:val="00AD015E"/>
    <w:rsid w:val="00AD08E7"/>
    <w:rsid w:val="00AD33E4"/>
    <w:rsid w:val="00AD34EE"/>
    <w:rsid w:val="00AD4270"/>
    <w:rsid w:val="00AD797E"/>
    <w:rsid w:val="00AE501B"/>
    <w:rsid w:val="00AE5A68"/>
    <w:rsid w:val="00AE6AB7"/>
    <w:rsid w:val="00AF0C87"/>
    <w:rsid w:val="00AF24C3"/>
    <w:rsid w:val="00AF2C6D"/>
    <w:rsid w:val="00AF44E5"/>
    <w:rsid w:val="00AF6052"/>
    <w:rsid w:val="00AF7187"/>
    <w:rsid w:val="00B00096"/>
    <w:rsid w:val="00B00167"/>
    <w:rsid w:val="00B00A27"/>
    <w:rsid w:val="00B01FD5"/>
    <w:rsid w:val="00B02394"/>
    <w:rsid w:val="00B0272B"/>
    <w:rsid w:val="00B0404A"/>
    <w:rsid w:val="00B0530A"/>
    <w:rsid w:val="00B06574"/>
    <w:rsid w:val="00B0661A"/>
    <w:rsid w:val="00B07DD3"/>
    <w:rsid w:val="00B10FF1"/>
    <w:rsid w:val="00B11513"/>
    <w:rsid w:val="00B12D3E"/>
    <w:rsid w:val="00B16D38"/>
    <w:rsid w:val="00B17AA8"/>
    <w:rsid w:val="00B201EA"/>
    <w:rsid w:val="00B20475"/>
    <w:rsid w:val="00B20783"/>
    <w:rsid w:val="00B219C6"/>
    <w:rsid w:val="00B222C3"/>
    <w:rsid w:val="00B23C25"/>
    <w:rsid w:val="00B24151"/>
    <w:rsid w:val="00B24D39"/>
    <w:rsid w:val="00B257F1"/>
    <w:rsid w:val="00B2621D"/>
    <w:rsid w:val="00B26FCE"/>
    <w:rsid w:val="00B279A4"/>
    <w:rsid w:val="00B3153C"/>
    <w:rsid w:val="00B32AA1"/>
    <w:rsid w:val="00B35060"/>
    <w:rsid w:val="00B35FDE"/>
    <w:rsid w:val="00B3622F"/>
    <w:rsid w:val="00B37FDC"/>
    <w:rsid w:val="00B43DE4"/>
    <w:rsid w:val="00B448CA"/>
    <w:rsid w:val="00B44A23"/>
    <w:rsid w:val="00B45EF6"/>
    <w:rsid w:val="00B5063C"/>
    <w:rsid w:val="00B51560"/>
    <w:rsid w:val="00B5157B"/>
    <w:rsid w:val="00B518E9"/>
    <w:rsid w:val="00B53B2D"/>
    <w:rsid w:val="00B555F2"/>
    <w:rsid w:val="00B55B4A"/>
    <w:rsid w:val="00B57301"/>
    <w:rsid w:val="00B62B4D"/>
    <w:rsid w:val="00B63E08"/>
    <w:rsid w:val="00B646CA"/>
    <w:rsid w:val="00B67374"/>
    <w:rsid w:val="00B704CE"/>
    <w:rsid w:val="00B71BAF"/>
    <w:rsid w:val="00B71BEA"/>
    <w:rsid w:val="00B72729"/>
    <w:rsid w:val="00B74334"/>
    <w:rsid w:val="00B74D59"/>
    <w:rsid w:val="00B75DDB"/>
    <w:rsid w:val="00B770A8"/>
    <w:rsid w:val="00B77343"/>
    <w:rsid w:val="00B83AAF"/>
    <w:rsid w:val="00B856A7"/>
    <w:rsid w:val="00B87919"/>
    <w:rsid w:val="00B93C5C"/>
    <w:rsid w:val="00B9546B"/>
    <w:rsid w:val="00BA087C"/>
    <w:rsid w:val="00BA11FB"/>
    <w:rsid w:val="00BA168E"/>
    <w:rsid w:val="00BA4D32"/>
    <w:rsid w:val="00BA6217"/>
    <w:rsid w:val="00BB14E0"/>
    <w:rsid w:val="00BB2D06"/>
    <w:rsid w:val="00BB379A"/>
    <w:rsid w:val="00BB506E"/>
    <w:rsid w:val="00BB5A70"/>
    <w:rsid w:val="00BB5B4D"/>
    <w:rsid w:val="00BC13EB"/>
    <w:rsid w:val="00BD16E8"/>
    <w:rsid w:val="00BD69DD"/>
    <w:rsid w:val="00BE016E"/>
    <w:rsid w:val="00BE134C"/>
    <w:rsid w:val="00BE23EA"/>
    <w:rsid w:val="00BE266E"/>
    <w:rsid w:val="00BE2F04"/>
    <w:rsid w:val="00BE34CB"/>
    <w:rsid w:val="00BE35C7"/>
    <w:rsid w:val="00BE48FC"/>
    <w:rsid w:val="00BF00BA"/>
    <w:rsid w:val="00BF10A7"/>
    <w:rsid w:val="00BF4937"/>
    <w:rsid w:val="00BF5CEF"/>
    <w:rsid w:val="00BF66BB"/>
    <w:rsid w:val="00BF6DD2"/>
    <w:rsid w:val="00BF7B57"/>
    <w:rsid w:val="00C03707"/>
    <w:rsid w:val="00C03956"/>
    <w:rsid w:val="00C12FBF"/>
    <w:rsid w:val="00C15150"/>
    <w:rsid w:val="00C152DA"/>
    <w:rsid w:val="00C15761"/>
    <w:rsid w:val="00C162E9"/>
    <w:rsid w:val="00C17B24"/>
    <w:rsid w:val="00C17BDF"/>
    <w:rsid w:val="00C201DA"/>
    <w:rsid w:val="00C20EDD"/>
    <w:rsid w:val="00C22904"/>
    <w:rsid w:val="00C2298C"/>
    <w:rsid w:val="00C241E5"/>
    <w:rsid w:val="00C26E94"/>
    <w:rsid w:val="00C32818"/>
    <w:rsid w:val="00C33B0A"/>
    <w:rsid w:val="00C3486C"/>
    <w:rsid w:val="00C34EB3"/>
    <w:rsid w:val="00C36E11"/>
    <w:rsid w:val="00C378FC"/>
    <w:rsid w:val="00C37C51"/>
    <w:rsid w:val="00C41060"/>
    <w:rsid w:val="00C43975"/>
    <w:rsid w:val="00C451B3"/>
    <w:rsid w:val="00C46601"/>
    <w:rsid w:val="00C46EB7"/>
    <w:rsid w:val="00C47F5E"/>
    <w:rsid w:val="00C50A3D"/>
    <w:rsid w:val="00C511EE"/>
    <w:rsid w:val="00C51E11"/>
    <w:rsid w:val="00C524A6"/>
    <w:rsid w:val="00C55903"/>
    <w:rsid w:val="00C60F40"/>
    <w:rsid w:val="00C62D5F"/>
    <w:rsid w:val="00C653F9"/>
    <w:rsid w:val="00C66C8D"/>
    <w:rsid w:val="00C66CDB"/>
    <w:rsid w:val="00C722A5"/>
    <w:rsid w:val="00C72B83"/>
    <w:rsid w:val="00C74392"/>
    <w:rsid w:val="00C766DF"/>
    <w:rsid w:val="00C775E6"/>
    <w:rsid w:val="00C80D30"/>
    <w:rsid w:val="00C85BCE"/>
    <w:rsid w:val="00C86AD6"/>
    <w:rsid w:val="00C92468"/>
    <w:rsid w:val="00C927C8"/>
    <w:rsid w:val="00C93F7E"/>
    <w:rsid w:val="00C961FE"/>
    <w:rsid w:val="00C9712B"/>
    <w:rsid w:val="00CA04A1"/>
    <w:rsid w:val="00CA285D"/>
    <w:rsid w:val="00CA30A4"/>
    <w:rsid w:val="00CA38B9"/>
    <w:rsid w:val="00CA4DF8"/>
    <w:rsid w:val="00CA555E"/>
    <w:rsid w:val="00CA6A49"/>
    <w:rsid w:val="00CA7D11"/>
    <w:rsid w:val="00CA7E65"/>
    <w:rsid w:val="00CB065C"/>
    <w:rsid w:val="00CB1877"/>
    <w:rsid w:val="00CB36EA"/>
    <w:rsid w:val="00CB3BD7"/>
    <w:rsid w:val="00CB5081"/>
    <w:rsid w:val="00CC0384"/>
    <w:rsid w:val="00CC1A53"/>
    <w:rsid w:val="00CC1B79"/>
    <w:rsid w:val="00CC1F71"/>
    <w:rsid w:val="00CC2B06"/>
    <w:rsid w:val="00CC2CC9"/>
    <w:rsid w:val="00CC704D"/>
    <w:rsid w:val="00CC73CA"/>
    <w:rsid w:val="00CC7FE3"/>
    <w:rsid w:val="00CD00BB"/>
    <w:rsid w:val="00CD1D24"/>
    <w:rsid w:val="00CD547E"/>
    <w:rsid w:val="00CD6643"/>
    <w:rsid w:val="00CD6FC4"/>
    <w:rsid w:val="00CD7ACF"/>
    <w:rsid w:val="00CE0FA1"/>
    <w:rsid w:val="00CE0FEE"/>
    <w:rsid w:val="00CE1083"/>
    <w:rsid w:val="00CE1653"/>
    <w:rsid w:val="00CE1B11"/>
    <w:rsid w:val="00CE2FEC"/>
    <w:rsid w:val="00CE4F87"/>
    <w:rsid w:val="00CE6524"/>
    <w:rsid w:val="00CE6ED2"/>
    <w:rsid w:val="00CF10CC"/>
    <w:rsid w:val="00CF1CFD"/>
    <w:rsid w:val="00CF5303"/>
    <w:rsid w:val="00CF5782"/>
    <w:rsid w:val="00CF65A6"/>
    <w:rsid w:val="00D0028B"/>
    <w:rsid w:val="00D01454"/>
    <w:rsid w:val="00D03133"/>
    <w:rsid w:val="00D06281"/>
    <w:rsid w:val="00D06597"/>
    <w:rsid w:val="00D06F97"/>
    <w:rsid w:val="00D11A93"/>
    <w:rsid w:val="00D12AFE"/>
    <w:rsid w:val="00D20AC5"/>
    <w:rsid w:val="00D216DC"/>
    <w:rsid w:val="00D2379F"/>
    <w:rsid w:val="00D2441E"/>
    <w:rsid w:val="00D3084E"/>
    <w:rsid w:val="00D30EEA"/>
    <w:rsid w:val="00D326C7"/>
    <w:rsid w:val="00D32B31"/>
    <w:rsid w:val="00D33AE5"/>
    <w:rsid w:val="00D344CB"/>
    <w:rsid w:val="00D35276"/>
    <w:rsid w:val="00D40AD4"/>
    <w:rsid w:val="00D44B5B"/>
    <w:rsid w:val="00D45ACC"/>
    <w:rsid w:val="00D462C1"/>
    <w:rsid w:val="00D46BA9"/>
    <w:rsid w:val="00D46BDA"/>
    <w:rsid w:val="00D46D02"/>
    <w:rsid w:val="00D5095E"/>
    <w:rsid w:val="00D50DAF"/>
    <w:rsid w:val="00D53111"/>
    <w:rsid w:val="00D544F0"/>
    <w:rsid w:val="00D54BE0"/>
    <w:rsid w:val="00D5560C"/>
    <w:rsid w:val="00D55A4A"/>
    <w:rsid w:val="00D561B8"/>
    <w:rsid w:val="00D5655D"/>
    <w:rsid w:val="00D572E0"/>
    <w:rsid w:val="00D57639"/>
    <w:rsid w:val="00D57B52"/>
    <w:rsid w:val="00D57BC0"/>
    <w:rsid w:val="00D608C5"/>
    <w:rsid w:val="00D61259"/>
    <w:rsid w:val="00D612DD"/>
    <w:rsid w:val="00D62D37"/>
    <w:rsid w:val="00D6324C"/>
    <w:rsid w:val="00D63818"/>
    <w:rsid w:val="00D63CFA"/>
    <w:rsid w:val="00D64D2B"/>
    <w:rsid w:val="00D668FD"/>
    <w:rsid w:val="00D669BE"/>
    <w:rsid w:val="00D67FD1"/>
    <w:rsid w:val="00D70CFF"/>
    <w:rsid w:val="00D72607"/>
    <w:rsid w:val="00D73702"/>
    <w:rsid w:val="00D74FE0"/>
    <w:rsid w:val="00D765D4"/>
    <w:rsid w:val="00D77642"/>
    <w:rsid w:val="00D80777"/>
    <w:rsid w:val="00D82598"/>
    <w:rsid w:val="00D84068"/>
    <w:rsid w:val="00D86A63"/>
    <w:rsid w:val="00D86E66"/>
    <w:rsid w:val="00D90F81"/>
    <w:rsid w:val="00D93405"/>
    <w:rsid w:val="00D94281"/>
    <w:rsid w:val="00D94381"/>
    <w:rsid w:val="00D966DD"/>
    <w:rsid w:val="00D97E5C"/>
    <w:rsid w:val="00DA2D52"/>
    <w:rsid w:val="00DA3032"/>
    <w:rsid w:val="00DA3383"/>
    <w:rsid w:val="00DA3D9E"/>
    <w:rsid w:val="00DA5158"/>
    <w:rsid w:val="00DB0739"/>
    <w:rsid w:val="00DB3F99"/>
    <w:rsid w:val="00DB4B91"/>
    <w:rsid w:val="00DB6468"/>
    <w:rsid w:val="00DC1776"/>
    <w:rsid w:val="00DC1C13"/>
    <w:rsid w:val="00DC2EBC"/>
    <w:rsid w:val="00DC2FB0"/>
    <w:rsid w:val="00DC5458"/>
    <w:rsid w:val="00DD083E"/>
    <w:rsid w:val="00DD08FF"/>
    <w:rsid w:val="00DD0FE1"/>
    <w:rsid w:val="00DD1255"/>
    <w:rsid w:val="00DD1F57"/>
    <w:rsid w:val="00DD21C7"/>
    <w:rsid w:val="00DD3888"/>
    <w:rsid w:val="00DE018F"/>
    <w:rsid w:val="00DE0DA0"/>
    <w:rsid w:val="00DE2462"/>
    <w:rsid w:val="00DE27D7"/>
    <w:rsid w:val="00DE540D"/>
    <w:rsid w:val="00DE56CA"/>
    <w:rsid w:val="00DE7F8C"/>
    <w:rsid w:val="00DF209C"/>
    <w:rsid w:val="00DF2C02"/>
    <w:rsid w:val="00DF3674"/>
    <w:rsid w:val="00DF3CF8"/>
    <w:rsid w:val="00DF45C8"/>
    <w:rsid w:val="00DF5806"/>
    <w:rsid w:val="00DF6739"/>
    <w:rsid w:val="00E00BC0"/>
    <w:rsid w:val="00E02085"/>
    <w:rsid w:val="00E032E1"/>
    <w:rsid w:val="00E04B1D"/>
    <w:rsid w:val="00E04BB8"/>
    <w:rsid w:val="00E04CBA"/>
    <w:rsid w:val="00E1015D"/>
    <w:rsid w:val="00E1134C"/>
    <w:rsid w:val="00E14BA4"/>
    <w:rsid w:val="00E15131"/>
    <w:rsid w:val="00E159AA"/>
    <w:rsid w:val="00E164E3"/>
    <w:rsid w:val="00E16EFA"/>
    <w:rsid w:val="00E21518"/>
    <w:rsid w:val="00E2261F"/>
    <w:rsid w:val="00E2485A"/>
    <w:rsid w:val="00E26098"/>
    <w:rsid w:val="00E3280C"/>
    <w:rsid w:val="00E32F1B"/>
    <w:rsid w:val="00E34B22"/>
    <w:rsid w:val="00E34BAF"/>
    <w:rsid w:val="00E36065"/>
    <w:rsid w:val="00E36E38"/>
    <w:rsid w:val="00E427AE"/>
    <w:rsid w:val="00E42A8E"/>
    <w:rsid w:val="00E450F1"/>
    <w:rsid w:val="00E47C30"/>
    <w:rsid w:val="00E5154E"/>
    <w:rsid w:val="00E52717"/>
    <w:rsid w:val="00E574FF"/>
    <w:rsid w:val="00E608D7"/>
    <w:rsid w:val="00E6145C"/>
    <w:rsid w:val="00E618A7"/>
    <w:rsid w:val="00E62D3F"/>
    <w:rsid w:val="00E63301"/>
    <w:rsid w:val="00E6657B"/>
    <w:rsid w:val="00E666AA"/>
    <w:rsid w:val="00E722C4"/>
    <w:rsid w:val="00E72E25"/>
    <w:rsid w:val="00E73A56"/>
    <w:rsid w:val="00E73FD0"/>
    <w:rsid w:val="00E75846"/>
    <w:rsid w:val="00E769F2"/>
    <w:rsid w:val="00E76D83"/>
    <w:rsid w:val="00E77C72"/>
    <w:rsid w:val="00E805D0"/>
    <w:rsid w:val="00E8111F"/>
    <w:rsid w:val="00E812C1"/>
    <w:rsid w:val="00E86368"/>
    <w:rsid w:val="00E86E30"/>
    <w:rsid w:val="00E9121A"/>
    <w:rsid w:val="00E92521"/>
    <w:rsid w:val="00E9344C"/>
    <w:rsid w:val="00E95979"/>
    <w:rsid w:val="00EA02ED"/>
    <w:rsid w:val="00EA1734"/>
    <w:rsid w:val="00EA270A"/>
    <w:rsid w:val="00EA2846"/>
    <w:rsid w:val="00EA361D"/>
    <w:rsid w:val="00EA45F9"/>
    <w:rsid w:val="00EA557F"/>
    <w:rsid w:val="00EA793D"/>
    <w:rsid w:val="00EB0C88"/>
    <w:rsid w:val="00EB106F"/>
    <w:rsid w:val="00EB15B1"/>
    <w:rsid w:val="00EB18EA"/>
    <w:rsid w:val="00EB327D"/>
    <w:rsid w:val="00EB5004"/>
    <w:rsid w:val="00EC13F6"/>
    <w:rsid w:val="00EC40C3"/>
    <w:rsid w:val="00EC6BFE"/>
    <w:rsid w:val="00EC7F8B"/>
    <w:rsid w:val="00ED1727"/>
    <w:rsid w:val="00ED1FE3"/>
    <w:rsid w:val="00ED2ECE"/>
    <w:rsid w:val="00ED3393"/>
    <w:rsid w:val="00ED3FB0"/>
    <w:rsid w:val="00ED4998"/>
    <w:rsid w:val="00ED51D9"/>
    <w:rsid w:val="00ED5DD3"/>
    <w:rsid w:val="00EE1055"/>
    <w:rsid w:val="00EE4F81"/>
    <w:rsid w:val="00EF256A"/>
    <w:rsid w:val="00EF5241"/>
    <w:rsid w:val="00EF5772"/>
    <w:rsid w:val="00EF63BD"/>
    <w:rsid w:val="00EF6F0B"/>
    <w:rsid w:val="00F003E2"/>
    <w:rsid w:val="00F051FA"/>
    <w:rsid w:val="00F06B6C"/>
    <w:rsid w:val="00F1253A"/>
    <w:rsid w:val="00F1264F"/>
    <w:rsid w:val="00F15558"/>
    <w:rsid w:val="00F16778"/>
    <w:rsid w:val="00F17735"/>
    <w:rsid w:val="00F17E42"/>
    <w:rsid w:val="00F259EC"/>
    <w:rsid w:val="00F3037D"/>
    <w:rsid w:val="00F307A3"/>
    <w:rsid w:val="00F312A1"/>
    <w:rsid w:val="00F314E6"/>
    <w:rsid w:val="00F32890"/>
    <w:rsid w:val="00F33341"/>
    <w:rsid w:val="00F33971"/>
    <w:rsid w:val="00F345CB"/>
    <w:rsid w:val="00F36522"/>
    <w:rsid w:val="00F376DA"/>
    <w:rsid w:val="00F40B21"/>
    <w:rsid w:val="00F4335C"/>
    <w:rsid w:val="00F433AC"/>
    <w:rsid w:val="00F4379D"/>
    <w:rsid w:val="00F437F6"/>
    <w:rsid w:val="00F45939"/>
    <w:rsid w:val="00F45947"/>
    <w:rsid w:val="00F462C5"/>
    <w:rsid w:val="00F50BCD"/>
    <w:rsid w:val="00F52081"/>
    <w:rsid w:val="00F529DF"/>
    <w:rsid w:val="00F53215"/>
    <w:rsid w:val="00F53EC2"/>
    <w:rsid w:val="00F54177"/>
    <w:rsid w:val="00F5550C"/>
    <w:rsid w:val="00F565B8"/>
    <w:rsid w:val="00F5680C"/>
    <w:rsid w:val="00F61DF0"/>
    <w:rsid w:val="00F62A99"/>
    <w:rsid w:val="00F63F46"/>
    <w:rsid w:val="00F65230"/>
    <w:rsid w:val="00F6585A"/>
    <w:rsid w:val="00F678F7"/>
    <w:rsid w:val="00F70157"/>
    <w:rsid w:val="00F709FB"/>
    <w:rsid w:val="00F718C9"/>
    <w:rsid w:val="00F76F14"/>
    <w:rsid w:val="00F806C7"/>
    <w:rsid w:val="00F80E32"/>
    <w:rsid w:val="00F8129A"/>
    <w:rsid w:val="00F81910"/>
    <w:rsid w:val="00F85006"/>
    <w:rsid w:val="00F866F1"/>
    <w:rsid w:val="00F916E7"/>
    <w:rsid w:val="00F933DC"/>
    <w:rsid w:val="00F9693C"/>
    <w:rsid w:val="00F96EB7"/>
    <w:rsid w:val="00F97DD6"/>
    <w:rsid w:val="00FA260B"/>
    <w:rsid w:val="00FA36C0"/>
    <w:rsid w:val="00FA586C"/>
    <w:rsid w:val="00FA5CAD"/>
    <w:rsid w:val="00FA7713"/>
    <w:rsid w:val="00FA789F"/>
    <w:rsid w:val="00FB1A6F"/>
    <w:rsid w:val="00FC19DA"/>
    <w:rsid w:val="00FC2DF0"/>
    <w:rsid w:val="00FC69F4"/>
    <w:rsid w:val="00FC6C2D"/>
    <w:rsid w:val="00FC7B0E"/>
    <w:rsid w:val="00FD0760"/>
    <w:rsid w:val="00FD22CD"/>
    <w:rsid w:val="00FD260C"/>
    <w:rsid w:val="00FD360A"/>
    <w:rsid w:val="00FD378B"/>
    <w:rsid w:val="00FD3ADC"/>
    <w:rsid w:val="00FD41E3"/>
    <w:rsid w:val="00FD450B"/>
    <w:rsid w:val="00FD55F1"/>
    <w:rsid w:val="00FD70CE"/>
    <w:rsid w:val="00FD78A7"/>
    <w:rsid w:val="00FE0BBA"/>
    <w:rsid w:val="00FE110A"/>
    <w:rsid w:val="00FE155A"/>
    <w:rsid w:val="00FE41B8"/>
    <w:rsid w:val="00FE55D8"/>
    <w:rsid w:val="00FE5B2D"/>
    <w:rsid w:val="00FE5F9F"/>
    <w:rsid w:val="00FE6C4D"/>
    <w:rsid w:val="00FE7474"/>
    <w:rsid w:val="00FF0DBC"/>
    <w:rsid w:val="00FF2E14"/>
    <w:rsid w:val="00FF3872"/>
    <w:rsid w:val="00FF3F98"/>
    <w:rsid w:val="00FF495D"/>
    <w:rsid w:val="00FF7E1C"/>
    <w:rsid w:val="01071EBF"/>
    <w:rsid w:val="01491E46"/>
    <w:rsid w:val="022A0D1C"/>
    <w:rsid w:val="02326595"/>
    <w:rsid w:val="0296595F"/>
    <w:rsid w:val="029A22D5"/>
    <w:rsid w:val="02A20AC7"/>
    <w:rsid w:val="02C458C8"/>
    <w:rsid w:val="031605B7"/>
    <w:rsid w:val="03435672"/>
    <w:rsid w:val="03695E25"/>
    <w:rsid w:val="03AB031E"/>
    <w:rsid w:val="03E37CED"/>
    <w:rsid w:val="0452341B"/>
    <w:rsid w:val="046C293A"/>
    <w:rsid w:val="048D2155"/>
    <w:rsid w:val="051716B8"/>
    <w:rsid w:val="051F060B"/>
    <w:rsid w:val="05287586"/>
    <w:rsid w:val="05A75A7C"/>
    <w:rsid w:val="06081ABF"/>
    <w:rsid w:val="06D505D2"/>
    <w:rsid w:val="07164002"/>
    <w:rsid w:val="076808B4"/>
    <w:rsid w:val="0778026F"/>
    <w:rsid w:val="07955F08"/>
    <w:rsid w:val="07A631D7"/>
    <w:rsid w:val="07BD1424"/>
    <w:rsid w:val="07C80B8A"/>
    <w:rsid w:val="0805686D"/>
    <w:rsid w:val="08705CF8"/>
    <w:rsid w:val="091C713E"/>
    <w:rsid w:val="09952584"/>
    <w:rsid w:val="0AC018B0"/>
    <w:rsid w:val="0AE04DB2"/>
    <w:rsid w:val="0AFB23F2"/>
    <w:rsid w:val="0B02798D"/>
    <w:rsid w:val="0B30466C"/>
    <w:rsid w:val="0BA522D3"/>
    <w:rsid w:val="0BC75EAA"/>
    <w:rsid w:val="0BF84E2F"/>
    <w:rsid w:val="0C104830"/>
    <w:rsid w:val="0C263C61"/>
    <w:rsid w:val="0C5E7B1C"/>
    <w:rsid w:val="0C925FED"/>
    <w:rsid w:val="0C953DB4"/>
    <w:rsid w:val="0CCC26A6"/>
    <w:rsid w:val="0CF60D20"/>
    <w:rsid w:val="0D43731A"/>
    <w:rsid w:val="0D5C106F"/>
    <w:rsid w:val="0D691CEC"/>
    <w:rsid w:val="0D9D1A98"/>
    <w:rsid w:val="0DC2219F"/>
    <w:rsid w:val="0DF02D6C"/>
    <w:rsid w:val="0E160A2D"/>
    <w:rsid w:val="0E3402F3"/>
    <w:rsid w:val="0E5E0E21"/>
    <w:rsid w:val="0E887A67"/>
    <w:rsid w:val="0E9F5DF3"/>
    <w:rsid w:val="0F2B1820"/>
    <w:rsid w:val="0F950E9E"/>
    <w:rsid w:val="10487C63"/>
    <w:rsid w:val="104C4DC9"/>
    <w:rsid w:val="10F92E76"/>
    <w:rsid w:val="111738EB"/>
    <w:rsid w:val="11431937"/>
    <w:rsid w:val="115A4181"/>
    <w:rsid w:val="127A318C"/>
    <w:rsid w:val="12B634CC"/>
    <w:rsid w:val="131F4F1C"/>
    <w:rsid w:val="13253213"/>
    <w:rsid w:val="13380D9E"/>
    <w:rsid w:val="13573AC8"/>
    <w:rsid w:val="13D94EBA"/>
    <w:rsid w:val="13FE715C"/>
    <w:rsid w:val="159C3D02"/>
    <w:rsid w:val="15CB70C9"/>
    <w:rsid w:val="161D0DD8"/>
    <w:rsid w:val="16310AC6"/>
    <w:rsid w:val="16AB6E37"/>
    <w:rsid w:val="16D40DE1"/>
    <w:rsid w:val="16FD7459"/>
    <w:rsid w:val="170101DA"/>
    <w:rsid w:val="17012110"/>
    <w:rsid w:val="17136303"/>
    <w:rsid w:val="1757521A"/>
    <w:rsid w:val="17790FCE"/>
    <w:rsid w:val="179D6033"/>
    <w:rsid w:val="17AA5FE0"/>
    <w:rsid w:val="17D02DF5"/>
    <w:rsid w:val="17F32C1B"/>
    <w:rsid w:val="181F06C4"/>
    <w:rsid w:val="183845C3"/>
    <w:rsid w:val="18533BD2"/>
    <w:rsid w:val="196A6FEC"/>
    <w:rsid w:val="196B0802"/>
    <w:rsid w:val="19A6663E"/>
    <w:rsid w:val="1AB4145B"/>
    <w:rsid w:val="1ADE2F5B"/>
    <w:rsid w:val="1AFA79D1"/>
    <w:rsid w:val="1B715091"/>
    <w:rsid w:val="1C3F1CFE"/>
    <w:rsid w:val="1C546262"/>
    <w:rsid w:val="1C5E370A"/>
    <w:rsid w:val="1C6E7571"/>
    <w:rsid w:val="1C775C44"/>
    <w:rsid w:val="1CBE4101"/>
    <w:rsid w:val="1D092B5C"/>
    <w:rsid w:val="1D4E0420"/>
    <w:rsid w:val="1D5774B0"/>
    <w:rsid w:val="1D8637DB"/>
    <w:rsid w:val="1D9B4C90"/>
    <w:rsid w:val="1D9D7FFD"/>
    <w:rsid w:val="1DCD5A53"/>
    <w:rsid w:val="1E2527F4"/>
    <w:rsid w:val="1E566323"/>
    <w:rsid w:val="1E7F2796"/>
    <w:rsid w:val="1F4A0F65"/>
    <w:rsid w:val="1F825E21"/>
    <w:rsid w:val="1F8E4A91"/>
    <w:rsid w:val="202C20C3"/>
    <w:rsid w:val="203A6A0B"/>
    <w:rsid w:val="204B6589"/>
    <w:rsid w:val="20A20FAF"/>
    <w:rsid w:val="20E26732"/>
    <w:rsid w:val="21447C5E"/>
    <w:rsid w:val="219A2C64"/>
    <w:rsid w:val="219C6B72"/>
    <w:rsid w:val="21AF4309"/>
    <w:rsid w:val="21B76AE0"/>
    <w:rsid w:val="21D73792"/>
    <w:rsid w:val="21FF5B5C"/>
    <w:rsid w:val="231C4CB2"/>
    <w:rsid w:val="2342741D"/>
    <w:rsid w:val="2364216F"/>
    <w:rsid w:val="23BE5BB1"/>
    <w:rsid w:val="243F2C87"/>
    <w:rsid w:val="24A253EA"/>
    <w:rsid w:val="25002214"/>
    <w:rsid w:val="25282C04"/>
    <w:rsid w:val="25B4065F"/>
    <w:rsid w:val="25C11AFE"/>
    <w:rsid w:val="26873E45"/>
    <w:rsid w:val="27524709"/>
    <w:rsid w:val="27AF712B"/>
    <w:rsid w:val="27E42606"/>
    <w:rsid w:val="28174A7C"/>
    <w:rsid w:val="281C3EDC"/>
    <w:rsid w:val="281D775F"/>
    <w:rsid w:val="283A2C4F"/>
    <w:rsid w:val="28BB5D28"/>
    <w:rsid w:val="28C85FAF"/>
    <w:rsid w:val="297E0FC2"/>
    <w:rsid w:val="29A34A46"/>
    <w:rsid w:val="29E54821"/>
    <w:rsid w:val="29F87AE2"/>
    <w:rsid w:val="29FF22F1"/>
    <w:rsid w:val="2A060BE6"/>
    <w:rsid w:val="2A8102C2"/>
    <w:rsid w:val="2AAD2F10"/>
    <w:rsid w:val="2AB6167A"/>
    <w:rsid w:val="2AC2095D"/>
    <w:rsid w:val="2AC731B8"/>
    <w:rsid w:val="2ACC1A9E"/>
    <w:rsid w:val="2B0E742E"/>
    <w:rsid w:val="2B3F08AA"/>
    <w:rsid w:val="2B6504C0"/>
    <w:rsid w:val="2B9C20A2"/>
    <w:rsid w:val="2BE949DA"/>
    <w:rsid w:val="2C0960E1"/>
    <w:rsid w:val="2C104103"/>
    <w:rsid w:val="2C825415"/>
    <w:rsid w:val="2D37659D"/>
    <w:rsid w:val="2DA03F78"/>
    <w:rsid w:val="2DC45879"/>
    <w:rsid w:val="2DC745E3"/>
    <w:rsid w:val="2DEA5B9A"/>
    <w:rsid w:val="2DF52416"/>
    <w:rsid w:val="2E806CBB"/>
    <w:rsid w:val="2E843EC4"/>
    <w:rsid w:val="2F455F1D"/>
    <w:rsid w:val="2FD1051A"/>
    <w:rsid w:val="30CD7CDB"/>
    <w:rsid w:val="30FE4638"/>
    <w:rsid w:val="318140DF"/>
    <w:rsid w:val="319B1D15"/>
    <w:rsid w:val="31B2784E"/>
    <w:rsid w:val="31FB407F"/>
    <w:rsid w:val="333D4897"/>
    <w:rsid w:val="337D5444"/>
    <w:rsid w:val="33906B09"/>
    <w:rsid w:val="33B925C4"/>
    <w:rsid w:val="34A95CF4"/>
    <w:rsid w:val="34B44085"/>
    <w:rsid w:val="34E43001"/>
    <w:rsid w:val="350D7C84"/>
    <w:rsid w:val="357207F2"/>
    <w:rsid w:val="359548D1"/>
    <w:rsid w:val="35AA111A"/>
    <w:rsid w:val="35B30761"/>
    <w:rsid w:val="35E503C2"/>
    <w:rsid w:val="367F123B"/>
    <w:rsid w:val="36E3431A"/>
    <w:rsid w:val="36ED1D37"/>
    <w:rsid w:val="370F0532"/>
    <w:rsid w:val="3726130F"/>
    <w:rsid w:val="38586C3A"/>
    <w:rsid w:val="387363B6"/>
    <w:rsid w:val="38773E88"/>
    <w:rsid w:val="3889424C"/>
    <w:rsid w:val="38B606D0"/>
    <w:rsid w:val="38C347AC"/>
    <w:rsid w:val="38F255EA"/>
    <w:rsid w:val="3909235E"/>
    <w:rsid w:val="39D4246E"/>
    <w:rsid w:val="39D9718E"/>
    <w:rsid w:val="39DC23F6"/>
    <w:rsid w:val="3A0C4B0F"/>
    <w:rsid w:val="3A2855EE"/>
    <w:rsid w:val="3A5F74F1"/>
    <w:rsid w:val="3B0B4CBA"/>
    <w:rsid w:val="3C2B07F6"/>
    <w:rsid w:val="3C3136C3"/>
    <w:rsid w:val="3C471EF3"/>
    <w:rsid w:val="3C541977"/>
    <w:rsid w:val="3CD27136"/>
    <w:rsid w:val="3DA70BB6"/>
    <w:rsid w:val="3E264B53"/>
    <w:rsid w:val="3E3C0EA9"/>
    <w:rsid w:val="3E3E1799"/>
    <w:rsid w:val="3E50775A"/>
    <w:rsid w:val="3E5429AD"/>
    <w:rsid w:val="3E687F30"/>
    <w:rsid w:val="3EA5597F"/>
    <w:rsid w:val="3EAD4A0B"/>
    <w:rsid w:val="3F9479BE"/>
    <w:rsid w:val="3FB52E94"/>
    <w:rsid w:val="409B0F72"/>
    <w:rsid w:val="40A26C7C"/>
    <w:rsid w:val="40F66335"/>
    <w:rsid w:val="41615D06"/>
    <w:rsid w:val="41724C5D"/>
    <w:rsid w:val="41765073"/>
    <w:rsid w:val="417D4716"/>
    <w:rsid w:val="41834389"/>
    <w:rsid w:val="41AC774B"/>
    <w:rsid w:val="424F27D8"/>
    <w:rsid w:val="42732AEB"/>
    <w:rsid w:val="42B05ECC"/>
    <w:rsid w:val="42ED4682"/>
    <w:rsid w:val="42FB761E"/>
    <w:rsid w:val="431C3344"/>
    <w:rsid w:val="431C5603"/>
    <w:rsid w:val="43416A23"/>
    <w:rsid w:val="437A5668"/>
    <w:rsid w:val="4385151B"/>
    <w:rsid w:val="43E176EB"/>
    <w:rsid w:val="4447309F"/>
    <w:rsid w:val="44C744E6"/>
    <w:rsid w:val="44D25874"/>
    <w:rsid w:val="44EA599F"/>
    <w:rsid w:val="44F13DE9"/>
    <w:rsid w:val="44FA23B6"/>
    <w:rsid w:val="44FE48EF"/>
    <w:rsid w:val="451F2C01"/>
    <w:rsid w:val="45343151"/>
    <w:rsid w:val="4556724D"/>
    <w:rsid w:val="460A17C8"/>
    <w:rsid w:val="461B491C"/>
    <w:rsid w:val="463E4B82"/>
    <w:rsid w:val="464956F4"/>
    <w:rsid w:val="468D0AE1"/>
    <w:rsid w:val="469A1BEA"/>
    <w:rsid w:val="47451FDC"/>
    <w:rsid w:val="47EB3100"/>
    <w:rsid w:val="480D406B"/>
    <w:rsid w:val="48831983"/>
    <w:rsid w:val="488E5795"/>
    <w:rsid w:val="48970623"/>
    <w:rsid w:val="48B16A4C"/>
    <w:rsid w:val="48C80F5C"/>
    <w:rsid w:val="48F5643E"/>
    <w:rsid w:val="49226009"/>
    <w:rsid w:val="496D5208"/>
    <w:rsid w:val="497F7182"/>
    <w:rsid w:val="498C7C37"/>
    <w:rsid w:val="4A760EB9"/>
    <w:rsid w:val="4A8815CE"/>
    <w:rsid w:val="4ADE3D60"/>
    <w:rsid w:val="4C0A0159"/>
    <w:rsid w:val="4C23584D"/>
    <w:rsid w:val="4C3D0F14"/>
    <w:rsid w:val="4C5C59BB"/>
    <w:rsid w:val="4CE71BB7"/>
    <w:rsid w:val="4CFD1D9A"/>
    <w:rsid w:val="4D3548AD"/>
    <w:rsid w:val="4D8B27AE"/>
    <w:rsid w:val="4E2B1EB6"/>
    <w:rsid w:val="4E5349EC"/>
    <w:rsid w:val="4E856160"/>
    <w:rsid w:val="4EA2112B"/>
    <w:rsid w:val="4EB82608"/>
    <w:rsid w:val="4ECE5058"/>
    <w:rsid w:val="4EEC1008"/>
    <w:rsid w:val="4F161775"/>
    <w:rsid w:val="4F262707"/>
    <w:rsid w:val="4F376FEC"/>
    <w:rsid w:val="50064BD9"/>
    <w:rsid w:val="50383C9D"/>
    <w:rsid w:val="50B429EC"/>
    <w:rsid w:val="510C1FBC"/>
    <w:rsid w:val="51356054"/>
    <w:rsid w:val="51447162"/>
    <w:rsid w:val="51AE6DBB"/>
    <w:rsid w:val="5279285E"/>
    <w:rsid w:val="52AE52B6"/>
    <w:rsid w:val="52C319D8"/>
    <w:rsid w:val="52E30467"/>
    <w:rsid w:val="52ED47E8"/>
    <w:rsid w:val="535956C0"/>
    <w:rsid w:val="54123428"/>
    <w:rsid w:val="545F21A9"/>
    <w:rsid w:val="5461298C"/>
    <w:rsid w:val="5469558C"/>
    <w:rsid w:val="54A23167"/>
    <w:rsid w:val="54A72B3F"/>
    <w:rsid w:val="54B61BA2"/>
    <w:rsid w:val="54CC73C9"/>
    <w:rsid w:val="54FD0021"/>
    <w:rsid w:val="550B7314"/>
    <w:rsid w:val="550F781D"/>
    <w:rsid w:val="5517380D"/>
    <w:rsid w:val="555A66D2"/>
    <w:rsid w:val="560E4F66"/>
    <w:rsid w:val="56412C14"/>
    <w:rsid w:val="574737F5"/>
    <w:rsid w:val="57B73978"/>
    <w:rsid w:val="588C43D5"/>
    <w:rsid w:val="58913A1F"/>
    <w:rsid w:val="58E65065"/>
    <w:rsid w:val="59066BF0"/>
    <w:rsid w:val="5911172D"/>
    <w:rsid w:val="59404FBC"/>
    <w:rsid w:val="59707EF0"/>
    <w:rsid w:val="5B356B08"/>
    <w:rsid w:val="5B711444"/>
    <w:rsid w:val="5BCC1553"/>
    <w:rsid w:val="5BE37E3C"/>
    <w:rsid w:val="5C6D2B9D"/>
    <w:rsid w:val="5C8005D2"/>
    <w:rsid w:val="5CE37412"/>
    <w:rsid w:val="5CF43C23"/>
    <w:rsid w:val="5D387E44"/>
    <w:rsid w:val="5D7123F2"/>
    <w:rsid w:val="5D8B7388"/>
    <w:rsid w:val="5DE27D97"/>
    <w:rsid w:val="5E333E50"/>
    <w:rsid w:val="5EBD623B"/>
    <w:rsid w:val="5F20199D"/>
    <w:rsid w:val="5F2E215A"/>
    <w:rsid w:val="5F3975E1"/>
    <w:rsid w:val="5F6E0C1A"/>
    <w:rsid w:val="5F980362"/>
    <w:rsid w:val="5F9B311B"/>
    <w:rsid w:val="5FAF36A8"/>
    <w:rsid w:val="5FC96EEC"/>
    <w:rsid w:val="603749E8"/>
    <w:rsid w:val="60890F6F"/>
    <w:rsid w:val="614F637F"/>
    <w:rsid w:val="6150550B"/>
    <w:rsid w:val="6203395D"/>
    <w:rsid w:val="62A6128D"/>
    <w:rsid w:val="62CF186C"/>
    <w:rsid w:val="62D02D00"/>
    <w:rsid w:val="62EB1166"/>
    <w:rsid w:val="63521B8D"/>
    <w:rsid w:val="6366022F"/>
    <w:rsid w:val="638242E8"/>
    <w:rsid w:val="63877B7C"/>
    <w:rsid w:val="63A86DF5"/>
    <w:rsid w:val="64154A8B"/>
    <w:rsid w:val="642619FA"/>
    <w:rsid w:val="64367A48"/>
    <w:rsid w:val="64B22643"/>
    <w:rsid w:val="64CD585D"/>
    <w:rsid w:val="65164149"/>
    <w:rsid w:val="65AF3460"/>
    <w:rsid w:val="66270365"/>
    <w:rsid w:val="66291A75"/>
    <w:rsid w:val="664042F4"/>
    <w:rsid w:val="66904414"/>
    <w:rsid w:val="66BE3C76"/>
    <w:rsid w:val="66C43D68"/>
    <w:rsid w:val="66DA0A56"/>
    <w:rsid w:val="66E04A8F"/>
    <w:rsid w:val="66EE416C"/>
    <w:rsid w:val="6715319B"/>
    <w:rsid w:val="67364560"/>
    <w:rsid w:val="675751FE"/>
    <w:rsid w:val="675E48FC"/>
    <w:rsid w:val="67836A8E"/>
    <w:rsid w:val="678708DE"/>
    <w:rsid w:val="67A942EF"/>
    <w:rsid w:val="67B84ABC"/>
    <w:rsid w:val="67C67689"/>
    <w:rsid w:val="67F244F1"/>
    <w:rsid w:val="67FD0861"/>
    <w:rsid w:val="682978C8"/>
    <w:rsid w:val="685E191C"/>
    <w:rsid w:val="686B534A"/>
    <w:rsid w:val="688408EF"/>
    <w:rsid w:val="6920000C"/>
    <w:rsid w:val="694E0453"/>
    <w:rsid w:val="699A1C3D"/>
    <w:rsid w:val="69AD6BD1"/>
    <w:rsid w:val="6A184E24"/>
    <w:rsid w:val="6AFD71EE"/>
    <w:rsid w:val="6B14328E"/>
    <w:rsid w:val="6BF306A7"/>
    <w:rsid w:val="6C6C10F7"/>
    <w:rsid w:val="6C6E0A22"/>
    <w:rsid w:val="6CB716E9"/>
    <w:rsid w:val="6CB73544"/>
    <w:rsid w:val="6CF6233D"/>
    <w:rsid w:val="6CF63969"/>
    <w:rsid w:val="6D9D414B"/>
    <w:rsid w:val="6DA203ED"/>
    <w:rsid w:val="6DEE130E"/>
    <w:rsid w:val="6E054781"/>
    <w:rsid w:val="6E070112"/>
    <w:rsid w:val="6E167561"/>
    <w:rsid w:val="6E465678"/>
    <w:rsid w:val="6E927CF6"/>
    <w:rsid w:val="6F3C7375"/>
    <w:rsid w:val="6F926D4C"/>
    <w:rsid w:val="6FF13B32"/>
    <w:rsid w:val="6FFC2F9A"/>
    <w:rsid w:val="702F0A1B"/>
    <w:rsid w:val="703561A8"/>
    <w:rsid w:val="7106208B"/>
    <w:rsid w:val="713F2DD7"/>
    <w:rsid w:val="714F66F1"/>
    <w:rsid w:val="715C25DD"/>
    <w:rsid w:val="71831C64"/>
    <w:rsid w:val="71996D63"/>
    <w:rsid w:val="71F52906"/>
    <w:rsid w:val="722B4115"/>
    <w:rsid w:val="722D2A5F"/>
    <w:rsid w:val="727248F2"/>
    <w:rsid w:val="72C72C5E"/>
    <w:rsid w:val="72D961F6"/>
    <w:rsid w:val="730A663A"/>
    <w:rsid w:val="73452899"/>
    <w:rsid w:val="74597145"/>
    <w:rsid w:val="74692E59"/>
    <w:rsid w:val="749444D3"/>
    <w:rsid w:val="74AF3292"/>
    <w:rsid w:val="74E57D63"/>
    <w:rsid w:val="7522503C"/>
    <w:rsid w:val="754B53D6"/>
    <w:rsid w:val="755325B7"/>
    <w:rsid w:val="76353BFF"/>
    <w:rsid w:val="76547239"/>
    <w:rsid w:val="76B9321F"/>
    <w:rsid w:val="76BC3089"/>
    <w:rsid w:val="76C665F0"/>
    <w:rsid w:val="77031603"/>
    <w:rsid w:val="772D1E0C"/>
    <w:rsid w:val="77597BAD"/>
    <w:rsid w:val="776158EB"/>
    <w:rsid w:val="778B637C"/>
    <w:rsid w:val="77C1451A"/>
    <w:rsid w:val="784116AF"/>
    <w:rsid w:val="78632B8F"/>
    <w:rsid w:val="78A87E00"/>
    <w:rsid w:val="78AE49DD"/>
    <w:rsid w:val="79401E2A"/>
    <w:rsid w:val="79875270"/>
    <w:rsid w:val="79B6253C"/>
    <w:rsid w:val="79DA5FAE"/>
    <w:rsid w:val="79FC742D"/>
    <w:rsid w:val="7A5A0ACB"/>
    <w:rsid w:val="7A660833"/>
    <w:rsid w:val="7A8B6964"/>
    <w:rsid w:val="7AD411A5"/>
    <w:rsid w:val="7B1C6CA6"/>
    <w:rsid w:val="7B1F628B"/>
    <w:rsid w:val="7B6A3FB1"/>
    <w:rsid w:val="7B9C5355"/>
    <w:rsid w:val="7BDE27F0"/>
    <w:rsid w:val="7BEA24DC"/>
    <w:rsid w:val="7BFC01F8"/>
    <w:rsid w:val="7C0853B4"/>
    <w:rsid w:val="7C2E3ECA"/>
    <w:rsid w:val="7C7768D4"/>
    <w:rsid w:val="7D3A3102"/>
    <w:rsid w:val="7D54525B"/>
    <w:rsid w:val="7D6E0058"/>
    <w:rsid w:val="7DB53DAB"/>
    <w:rsid w:val="7DCC4BF0"/>
    <w:rsid w:val="7ED969C7"/>
    <w:rsid w:val="7F0573D2"/>
    <w:rsid w:val="7F72061E"/>
    <w:rsid w:val="7FA15525"/>
    <w:rsid w:val="7FBE5669"/>
    <w:rsid w:val="7FE87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42"/>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41"/>
    <w:qFormat/>
    <w:uiPriority w:val="9"/>
    <w:pPr>
      <w:keepNext/>
      <w:keepLines/>
      <w:spacing w:before="260" w:after="260" w:line="416" w:lineRule="auto"/>
      <w:outlineLvl w:val="1"/>
    </w:pPr>
    <w:rPr>
      <w:rFonts w:ascii="Cambria" w:hAnsi="Cambria"/>
      <w:b/>
      <w:bCs/>
      <w:kern w:val="0"/>
      <w:sz w:val="32"/>
      <w:szCs w:val="32"/>
    </w:rPr>
  </w:style>
  <w:style w:type="paragraph" w:styleId="7">
    <w:name w:val="heading 3"/>
    <w:basedOn w:val="1"/>
    <w:next w:val="1"/>
    <w:link w:val="43"/>
    <w:qFormat/>
    <w:uiPriority w:val="9"/>
    <w:pPr>
      <w:keepNext/>
      <w:keepLines/>
      <w:spacing w:before="260" w:after="260" w:line="416" w:lineRule="auto"/>
      <w:outlineLvl w:val="2"/>
    </w:pPr>
    <w:rPr>
      <w:rFonts w:ascii="Calibri" w:hAnsi="Calibri"/>
      <w:b/>
      <w:bCs/>
      <w:kern w:val="0"/>
      <w:sz w:val="32"/>
      <w:szCs w:val="32"/>
    </w:rPr>
  </w:style>
  <w:style w:type="paragraph" w:styleId="8">
    <w:name w:val="heading 4"/>
    <w:basedOn w:val="1"/>
    <w:next w:val="1"/>
    <w:link w:val="44"/>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4"/>
    <w:qFormat/>
    <w:uiPriority w:val="0"/>
    <w:pPr>
      <w:suppressAutoHyphens/>
      <w:ind w:firstLine="420"/>
    </w:pPr>
    <w:rPr>
      <w:rFonts w:ascii="仿宋_GB2312" w:hAnsi="仿宋_GB2312" w:eastAsia="仿宋_GB2312" w:cs="Times New Roman"/>
      <w:kern w:val="1"/>
      <w:sz w:val="28"/>
      <w:szCs w:val="24"/>
      <w:lang w:val="zh-CN" w:eastAsia="ar-SA"/>
    </w:rPr>
  </w:style>
  <w:style w:type="paragraph" w:styleId="4">
    <w:name w:val="Date"/>
    <w:basedOn w:val="1"/>
    <w:next w:val="1"/>
    <w:link w:val="49"/>
    <w:qFormat/>
    <w:uiPriority w:val="0"/>
    <w:pPr>
      <w:ind w:left="100" w:leftChars="2500"/>
    </w:pPr>
  </w:style>
  <w:style w:type="paragraph" w:styleId="9">
    <w:name w:val="Document Map"/>
    <w:basedOn w:val="1"/>
    <w:link w:val="47"/>
    <w:qFormat/>
    <w:uiPriority w:val="99"/>
    <w:pPr>
      <w:shd w:val="clear" w:color="auto" w:fill="000080"/>
    </w:pPr>
  </w:style>
  <w:style w:type="paragraph" w:styleId="10">
    <w:name w:val="annotation text"/>
    <w:basedOn w:val="1"/>
    <w:link w:val="45"/>
    <w:qFormat/>
    <w:uiPriority w:val="0"/>
    <w:pPr>
      <w:jc w:val="left"/>
    </w:pPr>
    <w:rPr>
      <w:szCs w:val="22"/>
    </w:rPr>
  </w:style>
  <w:style w:type="paragraph" w:styleId="11">
    <w:name w:val="Body Text 3"/>
    <w:basedOn w:val="1"/>
    <w:qFormat/>
    <w:uiPriority w:val="0"/>
    <w:pPr>
      <w:tabs>
        <w:tab w:val="right" w:pos="8505"/>
      </w:tabs>
    </w:pPr>
    <w:rPr>
      <w:rFonts w:ascii="仿宋_GB2312" w:eastAsia="仿宋_GB2312"/>
      <w:b/>
      <w:sz w:val="32"/>
      <w:szCs w:val="20"/>
    </w:rPr>
  </w:style>
  <w:style w:type="paragraph" w:styleId="12">
    <w:name w:val="Body Text"/>
    <w:basedOn w:val="1"/>
    <w:next w:val="1"/>
    <w:link w:val="97"/>
    <w:qFormat/>
    <w:uiPriority w:val="0"/>
    <w:pPr>
      <w:spacing w:after="120"/>
    </w:pPr>
  </w:style>
  <w:style w:type="paragraph" w:styleId="13">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4">
    <w:name w:val="Plain Text"/>
    <w:basedOn w:val="1"/>
    <w:link w:val="48"/>
    <w:qFormat/>
    <w:uiPriority w:val="0"/>
    <w:rPr>
      <w:rFonts w:ascii="宋体" w:hAnsi="Courier New"/>
      <w:szCs w:val="20"/>
    </w:rPr>
  </w:style>
  <w:style w:type="paragraph" w:styleId="15">
    <w:name w:val="Body Text Indent 2"/>
    <w:basedOn w:val="1"/>
    <w:qFormat/>
    <w:uiPriority w:val="99"/>
    <w:pPr>
      <w:spacing w:line="540" w:lineRule="exact"/>
      <w:ind w:firstLine="600" w:firstLineChars="200"/>
    </w:pPr>
    <w:rPr>
      <w:rFonts w:ascii="仿宋_GB2312" w:eastAsia="仿宋_GB2312"/>
      <w:sz w:val="30"/>
      <w:szCs w:val="32"/>
    </w:rPr>
  </w:style>
  <w:style w:type="paragraph" w:styleId="16">
    <w:name w:val="Balloon Text"/>
    <w:basedOn w:val="1"/>
    <w:link w:val="50"/>
    <w:qFormat/>
    <w:uiPriority w:val="0"/>
    <w:rPr>
      <w:sz w:val="18"/>
      <w:szCs w:val="18"/>
    </w:rPr>
  </w:style>
  <w:style w:type="paragraph" w:styleId="17">
    <w:name w:val="footer"/>
    <w:basedOn w:val="1"/>
    <w:link w:val="51"/>
    <w:qFormat/>
    <w:uiPriority w:val="0"/>
    <w:pPr>
      <w:tabs>
        <w:tab w:val="center" w:pos="4153"/>
        <w:tab w:val="right" w:pos="8306"/>
      </w:tabs>
      <w:snapToGrid w:val="0"/>
      <w:jc w:val="left"/>
    </w:pPr>
    <w:rPr>
      <w:sz w:val="18"/>
      <w:szCs w:val="18"/>
    </w:rPr>
  </w:style>
  <w:style w:type="paragraph" w:styleId="18">
    <w:name w:val="envelope return"/>
    <w:basedOn w:val="1"/>
    <w:unhideWhenUsed/>
    <w:qFormat/>
    <w:uiPriority w:val="99"/>
    <w:pPr>
      <w:snapToGrid w:val="0"/>
    </w:pPr>
    <w:rPr>
      <w:rFonts w:ascii="Arial" w:hAnsi="Arial"/>
    </w:rPr>
  </w:style>
  <w:style w:type="paragraph" w:styleId="19">
    <w:name w:val="header"/>
    <w:basedOn w:val="1"/>
    <w:link w:val="52"/>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tabs>
        <w:tab w:val="right" w:leader="dot" w:pos="8720"/>
      </w:tabs>
    </w:pPr>
    <w:rPr>
      <w:rFonts w:ascii="宋体" w:hAnsi="宋体"/>
      <w:b/>
      <w:color w:val="FF0000"/>
      <w:kern w:val="0"/>
      <w:sz w:val="36"/>
      <w:szCs w:val="36"/>
    </w:rPr>
  </w:style>
  <w:style w:type="paragraph" w:styleId="21">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22">
    <w:name w:val="HTML Preformatted"/>
    <w:basedOn w:val="1"/>
    <w:link w:val="5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23">
    <w:name w:val="Normal (Web)"/>
    <w:basedOn w:val="1"/>
    <w:qFormat/>
    <w:uiPriority w:val="0"/>
    <w:pPr>
      <w:widowControl/>
      <w:spacing w:before="100" w:beforeAutospacing="1" w:after="100" w:afterAutospacing="1"/>
      <w:jc w:val="left"/>
    </w:pPr>
    <w:rPr>
      <w:rFonts w:ascii="宋体" w:hAnsi="宋体" w:cs="宋体"/>
      <w:kern w:val="0"/>
      <w:sz w:val="18"/>
      <w:szCs w:val="18"/>
    </w:rPr>
  </w:style>
  <w:style w:type="paragraph" w:styleId="24">
    <w:name w:val="Title"/>
    <w:basedOn w:val="1"/>
    <w:next w:val="1"/>
    <w:link w:val="54"/>
    <w:qFormat/>
    <w:uiPriority w:val="0"/>
    <w:pPr>
      <w:spacing w:before="240" w:after="60"/>
      <w:jc w:val="center"/>
      <w:outlineLvl w:val="0"/>
    </w:pPr>
    <w:rPr>
      <w:rFonts w:ascii="Cambria" w:hAnsi="Cambria"/>
      <w:b/>
      <w:bCs/>
      <w:sz w:val="32"/>
      <w:szCs w:val="32"/>
    </w:rPr>
  </w:style>
  <w:style w:type="paragraph" w:styleId="25">
    <w:name w:val="annotation subject"/>
    <w:basedOn w:val="10"/>
    <w:next w:val="10"/>
    <w:link w:val="46"/>
    <w:qFormat/>
    <w:uiPriority w:val="0"/>
    <w:rPr>
      <w:b/>
      <w:bCs/>
    </w:rPr>
  </w:style>
  <w:style w:type="paragraph" w:styleId="26">
    <w:name w:val="Body Text First Indent"/>
    <w:basedOn w:val="12"/>
    <w:link w:val="98"/>
    <w:unhideWhenUsed/>
    <w:qFormat/>
    <w:uiPriority w:val="99"/>
    <w:pPr>
      <w:ind w:firstLine="420" w:firstLineChars="100"/>
    </w:pPr>
  </w:style>
  <w:style w:type="table" w:styleId="28">
    <w:name w:val="Table Grid"/>
    <w:basedOn w:val="2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22"/>
    <w:rPr>
      <w:b/>
      <w:bCs/>
    </w:rPr>
  </w:style>
  <w:style w:type="character" w:styleId="31">
    <w:name w:val="page number"/>
    <w:basedOn w:val="29"/>
    <w:qFormat/>
    <w:uiPriority w:val="0"/>
  </w:style>
  <w:style w:type="character" w:styleId="32">
    <w:name w:val="FollowedHyperlink"/>
    <w:unhideWhenUsed/>
    <w:qFormat/>
    <w:uiPriority w:val="99"/>
    <w:rPr>
      <w:color w:val="864654"/>
      <w:u w:val="single"/>
    </w:rPr>
  </w:style>
  <w:style w:type="character" w:styleId="33">
    <w:name w:val="Emphasis"/>
    <w:qFormat/>
    <w:uiPriority w:val="20"/>
    <w:rPr>
      <w:i/>
      <w:iCs/>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paragraph" w:customStyle="1" w:styleId="36">
    <w:name w:val="Normal Indent1"/>
    <w:basedOn w:val="1"/>
    <w:qFormat/>
    <w:uiPriority w:val="0"/>
    <w:pPr>
      <w:ind w:firstLine="420" w:firstLineChars="200"/>
    </w:pPr>
  </w:style>
  <w:style w:type="paragraph" w:customStyle="1" w:styleId="37">
    <w:name w:val="Body Text First Indent 21"/>
    <w:basedOn w:val="38"/>
    <w:qFormat/>
    <w:uiPriority w:val="0"/>
    <w:pPr>
      <w:ind w:firstLine="420"/>
    </w:pPr>
    <w:rPr>
      <w:rFonts w:ascii="Calibri" w:hAnsi="Calibri"/>
    </w:rPr>
  </w:style>
  <w:style w:type="paragraph" w:customStyle="1" w:styleId="38">
    <w:name w:val="Body Text Indent1"/>
    <w:basedOn w:val="1"/>
    <w:qFormat/>
    <w:uiPriority w:val="0"/>
    <w:pPr>
      <w:spacing w:line="500" w:lineRule="exact"/>
      <w:ind w:firstLine="880" w:firstLineChars="200"/>
    </w:pPr>
    <w:rPr>
      <w:rFonts w:ascii="Times New Roman" w:hAnsi="Times New Roman" w:eastAsia="宋体" w:cs="Times New Roman"/>
      <w:szCs w:val="24"/>
    </w:rPr>
  </w:style>
  <w:style w:type="paragraph" w:customStyle="1" w:styleId="39">
    <w:name w:val="No Spacing_ad81b47b-6779-4c76-b471-79375858c8cb"/>
    <w:basedOn w:val="1"/>
    <w:qFormat/>
    <w:uiPriority w:val="99"/>
    <w:pPr>
      <w:ind w:firstLine="200" w:firstLineChars="200"/>
    </w:pPr>
  </w:style>
  <w:style w:type="paragraph" w:customStyle="1" w:styleId="40">
    <w:name w:val="三级1"/>
    <w:next w:val="24"/>
    <w:qFormat/>
    <w:uiPriority w:val="0"/>
    <w:pPr>
      <w:ind w:left="2422" w:hanging="720"/>
    </w:pPr>
    <w:rPr>
      <w:rFonts w:ascii="宋体" w:hAnsi="宋体" w:eastAsia="仿宋_GB2312" w:cs="Times New Roman"/>
      <w:spacing w:val="10"/>
      <w:kern w:val="0"/>
      <w:sz w:val="32"/>
      <w:szCs w:val="20"/>
      <w:lang w:val="en-US" w:eastAsia="zh-CN" w:bidi="ar-SA"/>
    </w:rPr>
  </w:style>
  <w:style w:type="character" w:customStyle="1" w:styleId="41">
    <w:name w:val="标题 2 Char"/>
    <w:link w:val="6"/>
    <w:qFormat/>
    <w:uiPriority w:val="9"/>
    <w:rPr>
      <w:rFonts w:ascii="Cambria" w:hAnsi="Cambria"/>
      <w:b/>
      <w:bCs/>
      <w:sz w:val="32"/>
      <w:szCs w:val="32"/>
    </w:rPr>
  </w:style>
  <w:style w:type="character" w:customStyle="1" w:styleId="42">
    <w:name w:val="标题 1 Char"/>
    <w:link w:val="5"/>
    <w:qFormat/>
    <w:uiPriority w:val="9"/>
    <w:rPr>
      <w:b/>
      <w:bCs/>
      <w:kern w:val="44"/>
      <w:sz w:val="44"/>
      <w:szCs w:val="44"/>
    </w:rPr>
  </w:style>
  <w:style w:type="character" w:customStyle="1" w:styleId="43">
    <w:name w:val="标题 3 Char"/>
    <w:link w:val="7"/>
    <w:qFormat/>
    <w:uiPriority w:val="9"/>
    <w:rPr>
      <w:rFonts w:ascii="Calibri" w:hAnsi="Calibri"/>
      <w:b/>
      <w:bCs/>
      <w:sz w:val="32"/>
      <w:szCs w:val="32"/>
    </w:rPr>
  </w:style>
  <w:style w:type="character" w:customStyle="1" w:styleId="44">
    <w:name w:val="标题 4 Char"/>
    <w:basedOn w:val="29"/>
    <w:link w:val="8"/>
    <w:semiHidden/>
    <w:qFormat/>
    <w:uiPriority w:val="0"/>
    <w:rPr>
      <w:rFonts w:asciiTheme="majorHAnsi" w:hAnsiTheme="majorHAnsi" w:eastAsiaTheme="majorEastAsia" w:cstheme="majorBidi"/>
      <w:b/>
      <w:bCs/>
      <w:kern w:val="2"/>
      <w:sz w:val="28"/>
      <w:szCs w:val="28"/>
    </w:rPr>
  </w:style>
  <w:style w:type="character" w:customStyle="1" w:styleId="45">
    <w:name w:val="批注文字 Char"/>
    <w:link w:val="10"/>
    <w:qFormat/>
    <w:uiPriority w:val="0"/>
    <w:rPr>
      <w:kern w:val="2"/>
      <w:sz w:val="21"/>
      <w:szCs w:val="22"/>
    </w:rPr>
  </w:style>
  <w:style w:type="character" w:customStyle="1" w:styleId="46">
    <w:name w:val="批注主题 Char"/>
    <w:link w:val="25"/>
    <w:qFormat/>
    <w:uiPriority w:val="0"/>
    <w:rPr>
      <w:b/>
      <w:bCs/>
      <w:kern w:val="2"/>
      <w:sz w:val="21"/>
      <w:szCs w:val="22"/>
    </w:rPr>
  </w:style>
  <w:style w:type="character" w:customStyle="1" w:styleId="47">
    <w:name w:val="文档结构图 Char"/>
    <w:link w:val="9"/>
    <w:qFormat/>
    <w:uiPriority w:val="99"/>
    <w:rPr>
      <w:kern w:val="2"/>
      <w:sz w:val="21"/>
      <w:szCs w:val="24"/>
      <w:shd w:val="clear" w:color="auto" w:fill="000080"/>
    </w:rPr>
  </w:style>
  <w:style w:type="character" w:customStyle="1" w:styleId="48">
    <w:name w:val="纯文本 Char"/>
    <w:link w:val="14"/>
    <w:qFormat/>
    <w:uiPriority w:val="0"/>
    <w:rPr>
      <w:rFonts w:ascii="宋体" w:hAnsi="Courier New"/>
      <w:kern w:val="2"/>
      <w:sz w:val="21"/>
    </w:rPr>
  </w:style>
  <w:style w:type="character" w:customStyle="1" w:styleId="49">
    <w:name w:val="日期 Char"/>
    <w:link w:val="4"/>
    <w:qFormat/>
    <w:uiPriority w:val="0"/>
    <w:rPr>
      <w:kern w:val="2"/>
      <w:sz w:val="21"/>
      <w:szCs w:val="24"/>
    </w:rPr>
  </w:style>
  <w:style w:type="character" w:customStyle="1" w:styleId="50">
    <w:name w:val="批注框文本 Char"/>
    <w:link w:val="16"/>
    <w:qFormat/>
    <w:uiPriority w:val="0"/>
    <w:rPr>
      <w:kern w:val="2"/>
      <w:sz w:val="18"/>
      <w:szCs w:val="18"/>
    </w:rPr>
  </w:style>
  <w:style w:type="character" w:customStyle="1" w:styleId="51">
    <w:name w:val="页脚 Char"/>
    <w:link w:val="17"/>
    <w:qFormat/>
    <w:uiPriority w:val="0"/>
    <w:rPr>
      <w:kern w:val="2"/>
      <w:sz w:val="18"/>
      <w:szCs w:val="18"/>
    </w:rPr>
  </w:style>
  <w:style w:type="character" w:customStyle="1" w:styleId="52">
    <w:name w:val="页眉 Char"/>
    <w:link w:val="19"/>
    <w:qFormat/>
    <w:uiPriority w:val="99"/>
    <w:rPr>
      <w:kern w:val="2"/>
      <w:sz w:val="18"/>
      <w:szCs w:val="18"/>
    </w:rPr>
  </w:style>
  <w:style w:type="character" w:customStyle="1" w:styleId="53">
    <w:name w:val="HTML 预设格式 Char"/>
    <w:link w:val="22"/>
    <w:qFormat/>
    <w:uiPriority w:val="99"/>
    <w:rPr>
      <w:rFonts w:ascii="黑体" w:hAnsi="Courier New" w:eastAsia="黑体" w:cs="Courier New"/>
    </w:rPr>
  </w:style>
  <w:style w:type="character" w:customStyle="1" w:styleId="54">
    <w:name w:val="标题 Char"/>
    <w:link w:val="24"/>
    <w:qFormat/>
    <w:uiPriority w:val="0"/>
    <w:rPr>
      <w:rFonts w:ascii="Cambria" w:hAnsi="Cambria" w:cs="Times New Roman"/>
      <w:b/>
      <w:bCs/>
      <w:kern w:val="2"/>
      <w:sz w:val="32"/>
      <w:szCs w:val="32"/>
    </w:rPr>
  </w:style>
  <w:style w:type="paragraph" w:customStyle="1" w:styleId="5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6">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列出段落1"/>
    <w:basedOn w:val="1"/>
    <w:qFormat/>
    <w:uiPriority w:val="34"/>
    <w:pPr>
      <w:ind w:firstLine="420" w:firstLineChars="200"/>
    </w:pPr>
    <w:rPr>
      <w:rFonts w:ascii="Calibri" w:hAnsi="Calibri"/>
      <w:szCs w:val="22"/>
    </w:rPr>
  </w:style>
  <w:style w:type="paragraph" w:customStyle="1" w:styleId="58">
    <w:name w:val="CM75"/>
    <w:basedOn w:val="1"/>
    <w:next w:val="1"/>
    <w:qFormat/>
    <w:uiPriority w:val="0"/>
    <w:pPr>
      <w:autoSpaceDE w:val="0"/>
      <w:autoSpaceDN w:val="0"/>
      <w:adjustRightInd w:val="0"/>
      <w:spacing w:after="400"/>
      <w:jc w:val="left"/>
    </w:pPr>
    <w:rPr>
      <w:rFonts w:ascii="宋体" w:cs="宋体"/>
      <w:kern w:val="0"/>
      <w:sz w:val="24"/>
    </w:rPr>
  </w:style>
  <w:style w:type="paragraph" w:customStyle="1" w:styleId="59">
    <w:name w:val="页脚1"/>
    <w:basedOn w:val="1"/>
    <w:qFormat/>
    <w:uiPriority w:val="0"/>
    <w:pPr>
      <w:tabs>
        <w:tab w:val="center" w:pos="4153"/>
        <w:tab w:val="right" w:pos="8306"/>
      </w:tabs>
      <w:snapToGrid w:val="0"/>
      <w:jc w:val="left"/>
    </w:pPr>
    <w:rPr>
      <w:rFonts w:ascii="Calibri" w:hAnsi="Calibri"/>
      <w:sz w:val="18"/>
      <w:szCs w:val="18"/>
    </w:rPr>
  </w:style>
  <w:style w:type="paragraph" w:customStyle="1" w:styleId="60">
    <w:name w:val="Char1 Char Char Char Char Char Char Char Char Char Char Char Char Char Char Char Char Char Char Char Char Char"/>
    <w:basedOn w:val="1"/>
    <w:qFormat/>
    <w:uiPriority w:val="0"/>
    <w:pPr>
      <w:tabs>
        <w:tab w:val="left" w:pos="360"/>
      </w:tabs>
      <w:ind w:left="360" w:hanging="360"/>
    </w:pPr>
    <w:rPr>
      <w:sz w:val="24"/>
    </w:rPr>
  </w:style>
  <w:style w:type="paragraph" w:customStyle="1" w:styleId="61">
    <w:name w:val="Char Char Char Char"/>
    <w:basedOn w:val="1"/>
    <w:qFormat/>
    <w:uiPriority w:val="0"/>
    <w:rPr>
      <w:sz w:val="24"/>
    </w:rPr>
  </w:style>
  <w:style w:type="paragraph" w:customStyle="1" w:styleId="62">
    <w:name w:val="Char"/>
    <w:basedOn w:val="1"/>
    <w:qFormat/>
    <w:uiPriority w:val="0"/>
    <w:pPr>
      <w:widowControl/>
      <w:spacing w:after="160" w:line="360" w:lineRule="auto"/>
      <w:jc w:val="left"/>
    </w:pPr>
    <w:rPr>
      <w:szCs w:val="20"/>
    </w:rPr>
  </w:style>
  <w:style w:type="paragraph" w:customStyle="1" w:styleId="63">
    <w:name w:val="_Style 35"/>
    <w:basedOn w:val="5"/>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64">
    <w:name w:val="Char Char Char"/>
    <w:basedOn w:val="1"/>
    <w:qFormat/>
    <w:uiPriority w:val="0"/>
    <w:rPr>
      <w:rFonts w:ascii="Tahoma" w:hAnsi="Tahoma"/>
      <w:sz w:val="24"/>
      <w:szCs w:val="20"/>
    </w:rPr>
  </w:style>
  <w:style w:type="paragraph" w:customStyle="1" w:styleId="65">
    <w:name w:val="页眉1"/>
    <w:basedOn w:val="1"/>
    <w:qFormat/>
    <w:uiPriority w:val="0"/>
    <w:pPr>
      <w:pBdr>
        <w:bottom w:val="single" w:color="auto" w:sz="6" w:space="1"/>
      </w:pBdr>
      <w:tabs>
        <w:tab w:val="center" w:pos="4153"/>
        <w:tab w:val="right" w:pos="8306"/>
      </w:tabs>
      <w:snapToGrid w:val="0"/>
      <w:jc w:val="center"/>
    </w:pPr>
    <w:rPr>
      <w:rFonts w:ascii="Calibri" w:hAnsi="Calibri"/>
      <w:sz w:val="18"/>
      <w:szCs w:val="18"/>
    </w:rPr>
  </w:style>
  <w:style w:type="paragraph" w:customStyle="1" w:styleId="66">
    <w:name w:val="页脚11"/>
    <w:basedOn w:val="1"/>
    <w:qFormat/>
    <w:uiPriority w:val="0"/>
    <w:pPr>
      <w:tabs>
        <w:tab w:val="center" w:pos="4153"/>
        <w:tab w:val="right" w:pos="8306"/>
      </w:tabs>
      <w:snapToGrid w:val="0"/>
      <w:jc w:val="left"/>
    </w:pPr>
    <w:rPr>
      <w:rFonts w:ascii="Calibri" w:hAnsi="Calibri"/>
      <w:sz w:val="18"/>
      <w:szCs w:val="18"/>
    </w:rPr>
  </w:style>
  <w:style w:type="paragraph" w:customStyle="1" w:styleId="67">
    <w:name w:val="页眉2"/>
    <w:basedOn w:val="1"/>
    <w:qFormat/>
    <w:uiPriority w:val="0"/>
    <w:pPr>
      <w:pBdr>
        <w:bottom w:val="single" w:color="auto" w:sz="6" w:space="1"/>
      </w:pBdr>
      <w:tabs>
        <w:tab w:val="center" w:pos="4153"/>
        <w:tab w:val="right" w:pos="8306"/>
      </w:tabs>
      <w:snapToGrid w:val="0"/>
      <w:jc w:val="center"/>
    </w:pPr>
    <w:rPr>
      <w:rFonts w:ascii="Calibri" w:hAnsi="Calibri"/>
      <w:sz w:val="18"/>
      <w:szCs w:val="18"/>
    </w:rPr>
  </w:style>
  <w:style w:type="paragraph" w:customStyle="1" w:styleId="68">
    <w:name w:val="CM5"/>
    <w:basedOn w:val="1"/>
    <w:next w:val="1"/>
    <w:qFormat/>
    <w:uiPriority w:val="0"/>
    <w:pPr>
      <w:autoSpaceDE w:val="0"/>
      <w:autoSpaceDN w:val="0"/>
      <w:adjustRightInd w:val="0"/>
      <w:jc w:val="left"/>
    </w:pPr>
    <w:rPr>
      <w:rFonts w:ascii="宋体" w:cs="宋体"/>
      <w:kern w:val="0"/>
      <w:sz w:val="24"/>
    </w:rPr>
  </w:style>
  <w:style w:type="paragraph" w:customStyle="1" w:styleId="69">
    <w:name w:val="CM6"/>
    <w:basedOn w:val="1"/>
    <w:next w:val="1"/>
    <w:qFormat/>
    <w:uiPriority w:val="0"/>
    <w:pPr>
      <w:autoSpaceDE w:val="0"/>
      <w:autoSpaceDN w:val="0"/>
      <w:adjustRightInd w:val="0"/>
      <w:spacing w:line="400" w:lineRule="atLeast"/>
      <w:jc w:val="left"/>
    </w:pPr>
    <w:rPr>
      <w:rFonts w:ascii="宋体" w:cs="宋体"/>
      <w:kern w:val="0"/>
      <w:sz w:val="24"/>
    </w:rPr>
  </w:style>
  <w:style w:type="paragraph" w:customStyle="1" w:styleId="70">
    <w:name w:val="CM71"/>
    <w:basedOn w:val="1"/>
    <w:next w:val="1"/>
    <w:qFormat/>
    <w:uiPriority w:val="0"/>
    <w:pPr>
      <w:autoSpaceDE w:val="0"/>
      <w:autoSpaceDN w:val="0"/>
      <w:adjustRightInd w:val="0"/>
      <w:spacing w:after="188"/>
      <w:jc w:val="left"/>
    </w:pPr>
    <w:rPr>
      <w:rFonts w:ascii="宋体" w:cs="宋体"/>
      <w:kern w:val="0"/>
      <w:sz w:val="24"/>
    </w:rPr>
  </w:style>
  <w:style w:type="paragraph" w:customStyle="1" w:styleId="71">
    <w:name w:val="CM16"/>
    <w:basedOn w:val="1"/>
    <w:next w:val="1"/>
    <w:qFormat/>
    <w:uiPriority w:val="0"/>
    <w:pPr>
      <w:autoSpaceDE w:val="0"/>
      <w:autoSpaceDN w:val="0"/>
      <w:adjustRightInd w:val="0"/>
      <w:spacing w:line="400" w:lineRule="atLeast"/>
      <w:jc w:val="left"/>
    </w:pPr>
    <w:rPr>
      <w:rFonts w:ascii="宋体" w:cs="宋体"/>
      <w:kern w:val="0"/>
      <w:sz w:val="24"/>
    </w:rPr>
  </w:style>
  <w:style w:type="character" w:customStyle="1" w:styleId="72">
    <w:name w:val="文档结构图 Char1"/>
    <w:semiHidden/>
    <w:qFormat/>
    <w:uiPriority w:val="99"/>
    <w:rPr>
      <w:rFonts w:ascii="宋体" w:hAnsi="Calibri" w:eastAsia="宋体" w:cs="Times New Roman"/>
      <w:sz w:val="18"/>
      <w:szCs w:val="18"/>
    </w:rPr>
  </w:style>
  <w:style w:type="character" w:customStyle="1" w:styleId="73">
    <w:name w:val="批注框文本 Char1"/>
    <w:semiHidden/>
    <w:qFormat/>
    <w:uiPriority w:val="99"/>
    <w:rPr>
      <w:rFonts w:ascii="Calibri" w:hAnsi="Calibri" w:eastAsia="宋体" w:cs="Times New Roman"/>
      <w:sz w:val="18"/>
      <w:szCs w:val="18"/>
    </w:rPr>
  </w:style>
  <w:style w:type="character" w:customStyle="1" w:styleId="74">
    <w:name w:val="font11"/>
    <w:qFormat/>
    <w:uiPriority w:val="0"/>
    <w:rPr>
      <w:rFonts w:hint="eastAsia" w:ascii="宋体" w:hAnsi="宋体" w:eastAsia="宋体" w:cs="宋体"/>
      <w:color w:val="000000"/>
      <w:sz w:val="20"/>
      <w:szCs w:val="20"/>
      <w:u w:val="none"/>
    </w:rPr>
  </w:style>
  <w:style w:type="character" w:customStyle="1" w:styleId="75">
    <w:name w:val="apple-converted-space"/>
    <w:basedOn w:val="29"/>
    <w:qFormat/>
    <w:uiPriority w:val="0"/>
  </w:style>
  <w:style w:type="character" w:customStyle="1" w:styleId="76">
    <w:name w:val="HTML 预设格式 Char1"/>
    <w:semiHidden/>
    <w:qFormat/>
    <w:uiPriority w:val="99"/>
    <w:rPr>
      <w:rFonts w:ascii="Courier New" w:hAnsi="Courier New" w:eastAsia="宋体" w:cs="Courier New"/>
      <w:sz w:val="20"/>
      <w:szCs w:val="20"/>
    </w:rPr>
  </w:style>
  <w:style w:type="character" w:customStyle="1" w:styleId="77">
    <w:name w:val="txtcontent11"/>
    <w:qFormat/>
    <w:uiPriority w:val="0"/>
    <w:rPr>
      <w:rFonts w:hint="default" w:ascii="ˎ̥" w:hAnsi="ˎ̥"/>
      <w:color w:val="000000"/>
      <w:sz w:val="21"/>
      <w:szCs w:val="21"/>
    </w:rPr>
  </w:style>
  <w:style w:type="character" w:customStyle="1" w:styleId="78">
    <w:name w:val="t_tag"/>
    <w:basedOn w:val="29"/>
    <w:qFormat/>
    <w:uiPriority w:val="0"/>
  </w:style>
  <w:style w:type="character" w:customStyle="1" w:styleId="79">
    <w:name w:val="页码1"/>
    <w:basedOn w:val="29"/>
    <w:qFormat/>
    <w:uiPriority w:val="0"/>
  </w:style>
  <w:style w:type="character" w:customStyle="1" w:styleId="80">
    <w:name w:val="页码11"/>
    <w:qFormat/>
    <w:uiPriority w:val="0"/>
  </w:style>
  <w:style w:type="character" w:customStyle="1" w:styleId="81">
    <w:name w:val="font21"/>
    <w:basedOn w:val="29"/>
    <w:qFormat/>
    <w:uiPriority w:val="0"/>
    <w:rPr>
      <w:rFonts w:hint="eastAsia" w:ascii="宋体" w:hAnsi="宋体" w:eastAsia="宋体" w:cs="宋体"/>
      <w:color w:val="000000"/>
      <w:sz w:val="20"/>
      <w:szCs w:val="20"/>
      <w:u w:val="none"/>
    </w:rPr>
  </w:style>
  <w:style w:type="character" w:customStyle="1" w:styleId="82">
    <w:name w:val="文档结构图 Char2"/>
    <w:semiHidden/>
    <w:qFormat/>
    <w:uiPriority w:val="99"/>
    <w:rPr>
      <w:rFonts w:ascii="宋体" w:hAnsi="Calibri" w:eastAsia="宋体" w:cs="Times New Roman"/>
      <w:sz w:val="18"/>
      <w:szCs w:val="18"/>
    </w:rPr>
  </w:style>
  <w:style w:type="character" w:customStyle="1" w:styleId="83">
    <w:name w:val="标题 3 字符"/>
    <w:semiHidden/>
    <w:qFormat/>
    <w:uiPriority w:val="0"/>
    <w:rPr>
      <w:b/>
      <w:bCs/>
      <w:kern w:val="2"/>
      <w:sz w:val="32"/>
      <w:szCs w:val="32"/>
    </w:rPr>
  </w:style>
  <w:style w:type="character" w:customStyle="1" w:styleId="84">
    <w:name w:val="标题 2 字符"/>
    <w:semiHidden/>
    <w:qFormat/>
    <w:uiPriority w:val="0"/>
    <w:rPr>
      <w:rFonts w:ascii="等线 Light" w:hAnsi="等线 Light" w:eastAsia="等线 Light" w:cs="Times New Roman"/>
      <w:b/>
      <w:bCs/>
      <w:kern w:val="2"/>
      <w:sz w:val="32"/>
      <w:szCs w:val="32"/>
    </w:rPr>
  </w:style>
  <w:style w:type="character" w:customStyle="1" w:styleId="85">
    <w:name w:val="批注文字 Char1"/>
    <w:qFormat/>
    <w:uiPriority w:val="99"/>
    <w:rPr>
      <w:kern w:val="2"/>
      <w:sz w:val="21"/>
      <w:szCs w:val="24"/>
    </w:rPr>
  </w:style>
  <w:style w:type="character" w:customStyle="1" w:styleId="86">
    <w:name w:val="批注文字 字符"/>
    <w:qFormat/>
    <w:uiPriority w:val="0"/>
    <w:rPr>
      <w:kern w:val="2"/>
      <w:sz w:val="21"/>
      <w:szCs w:val="24"/>
    </w:rPr>
  </w:style>
  <w:style w:type="character" w:customStyle="1" w:styleId="87">
    <w:name w:val="批注主题 Char1"/>
    <w:qFormat/>
    <w:uiPriority w:val="99"/>
    <w:rPr>
      <w:b/>
      <w:bCs/>
      <w:kern w:val="2"/>
      <w:sz w:val="21"/>
      <w:szCs w:val="24"/>
    </w:rPr>
  </w:style>
  <w:style w:type="character" w:customStyle="1" w:styleId="88">
    <w:name w:val="批注主题 字符"/>
    <w:qFormat/>
    <w:uiPriority w:val="0"/>
    <w:rPr>
      <w:b/>
      <w:bCs/>
      <w:kern w:val="2"/>
      <w:sz w:val="21"/>
      <w:szCs w:val="24"/>
    </w:rPr>
  </w:style>
  <w:style w:type="character" w:customStyle="1" w:styleId="89">
    <w:name w:val="日期 Char1"/>
    <w:semiHidden/>
    <w:qFormat/>
    <w:uiPriority w:val="99"/>
    <w:rPr>
      <w:rFonts w:ascii="Calibri" w:hAnsi="Calibri" w:eastAsia="宋体" w:cs="Times New Roman"/>
    </w:rPr>
  </w:style>
  <w:style w:type="character" w:customStyle="1" w:styleId="90">
    <w:name w:val="HTML 预设格式 Char2"/>
    <w:semiHidden/>
    <w:qFormat/>
    <w:uiPriority w:val="99"/>
    <w:rPr>
      <w:rFonts w:ascii="Courier New" w:hAnsi="Courier New" w:eastAsia="宋体" w:cs="Courier New"/>
      <w:sz w:val="20"/>
      <w:szCs w:val="20"/>
    </w:rPr>
  </w:style>
  <w:style w:type="character" w:customStyle="1" w:styleId="91">
    <w:name w:val="页眉 字符"/>
    <w:qFormat/>
    <w:uiPriority w:val="99"/>
  </w:style>
  <w:style w:type="character" w:customStyle="1" w:styleId="92">
    <w:name w:val="font01"/>
    <w:qFormat/>
    <w:uiPriority w:val="0"/>
    <w:rPr>
      <w:rFonts w:hint="eastAsia" w:ascii="宋体" w:hAnsi="宋体" w:eastAsia="宋体" w:cs="宋体"/>
      <w:b/>
      <w:color w:val="000000"/>
      <w:sz w:val="20"/>
      <w:szCs w:val="20"/>
      <w:u w:val="none"/>
    </w:rPr>
  </w:style>
  <w:style w:type="paragraph" w:customStyle="1" w:styleId="93">
    <w:name w:val="_Style 4"/>
    <w:basedOn w:val="1"/>
    <w:qFormat/>
    <w:uiPriority w:val="34"/>
    <w:pPr>
      <w:ind w:firstLine="420" w:firstLineChars="200"/>
    </w:pPr>
  </w:style>
  <w:style w:type="paragraph" w:customStyle="1" w:styleId="94">
    <w:name w:val="promulgatetitle"/>
    <w:basedOn w:val="1"/>
    <w:qFormat/>
    <w:uiPriority w:val="0"/>
    <w:pPr>
      <w:widowControl/>
      <w:spacing w:before="100" w:beforeAutospacing="1" w:after="100" w:afterAutospacing="1"/>
      <w:jc w:val="left"/>
    </w:pPr>
    <w:rPr>
      <w:rFonts w:ascii="宋体" w:hAnsi="宋体" w:cs="宋体"/>
      <w:kern w:val="0"/>
      <w:sz w:val="24"/>
    </w:rPr>
  </w:style>
  <w:style w:type="character" w:customStyle="1" w:styleId="95">
    <w:name w:val="font71"/>
    <w:qFormat/>
    <w:uiPriority w:val="0"/>
    <w:rPr>
      <w:rFonts w:hint="eastAsia" w:ascii="仿宋_GB2312" w:eastAsia="仿宋_GB2312" w:cs="仿宋_GB2312"/>
      <w:color w:val="000000"/>
      <w:sz w:val="21"/>
      <w:szCs w:val="21"/>
      <w:u w:val="none"/>
    </w:rPr>
  </w:style>
  <w:style w:type="character" w:customStyle="1" w:styleId="96">
    <w:name w:val="font41"/>
    <w:basedOn w:val="29"/>
    <w:qFormat/>
    <w:uiPriority w:val="0"/>
    <w:rPr>
      <w:rFonts w:ascii="font-weight : 400" w:hAnsi="font-weight : 400" w:eastAsia="font-weight : 400" w:cs="font-weight : 400"/>
      <w:color w:val="000000"/>
      <w:sz w:val="20"/>
      <w:szCs w:val="20"/>
      <w:u w:val="none"/>
    </w:rPr>
  </w:style>
  <w:style w:type="character" w:customStyle="1" w:styleId="97">
    <w:name w:val="正文文本 Char"/>
    <w:basedOn w:val="29"/>
    <w:link w:val="12"/>
    <w:qFormat/>
    <w:uiPriority w:val="0"/>
    <w:rPr>
      <w:kern w:val="2"/>
      <w:sz w:val="21"/>
      <w:szCs w:val="24"/>
    </w:rPr>
  </w:style>
  <w:style w:type="character" w:customStyle="1" w:styleId="98">
    <w:name w:val="正文首行缩进 Char"/>
    <w:basedOn w:val="97"/>
    <w:link w:val="26"/>
    <w:qFormat/>
    <w:uiPriority w:val="99"/>
    <w:rPr>
      <w:kern w:val="2"/>
      <w:sz w:val="21"/>
      <w:szCs w:val="24"/>
    </w:rPr>
  </w:style>
  <w:style w:type="paragraph" w:styleId="99">
    <w:name w:val="List Paragraph"/>
    <w:basedOn w:val="1"/>
    <w:unhideWhenUsed/>
    <w:qFormat/>
    <w:uiPriority w:val="99"/>
    <w:pPr>
      <w:ind w:firstLine="420" w:firstLineChars="200"/>
    </w:pPr>
  </w:style>
  <w:style w:type="paragraph" w:customStyle="1" w:styleId="100">
    <w:name w:val="p17"/>
    <w:basedOn w:val="1"/>
    <w:qFormat/>
    <w:uiPriority w:val="0"/>
    <w:pPr>
      <w:widowControl/>
    </w:pPr>
    <w:rPr>
      <w:rFonts w:ascii="仿宋_GB2312" w:hAnsi="宋体" w:eastAsia="仿宋_GB2312" w:cs="宋体"/>
      <w:b/>
      <w:bCs/>
      <w:kern w:val="0"/>
      <w:sz w:val="32"/>
      <w:szCs w:val="32"/>
    </w:rPr>
  </w:style>
  <w:style w:type="character" w:customStyle="1" w:styleId="101">
    <w:name w:val="font51"/>
    <w:basedOn w:val="29"/>
    <w:qFormat/>
    <w:uiPriority w:val="0"/>
    <w:rPr>
      <w:rFonts w:ascii="ˎ̥" w:hAnsi="ˎ̥" w:eastAsia="ˎ̥" w:cs="ˎ̥"/>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470694-35F6-4EDE-A64F-5FAD585895E6}">
  <ds:schemaRefs/>
</ds:datastoreItem>
</file>

<file path=docProps/app.xml><?xml version="1.0" encoding="utf-8"?>
<Properties xmlns="http://schemas.openxmlformats.org/officeDocument/2006/extended-properties" xmlns:vt="http://schemas.openxmlformats.org/officeDocument/2006/docPropsVTypes">
  <Template>Normal.dotm</Template>
  <Company>东海县农村信用合作联社</Company>
  <Pages>59</Pages>
  <Words>27935</Words>
  <Characters>33529</Characters>
  <Lines>761</Lines>
  <Paragraphs>214</Paragraphs>
  <TotalTime>28</TotalTime>
  <ScaleCrop>false</ScaleCrop>
  <LinksUpToDate>false</LinksUpToDate>
  <CharactersWithSpaces>34404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2010-05-05T09:24:00Z</dcterms:created>
  <dc:creator>风险管理委员会</dc:creator>
  <cp:lastModifiedBy> </cp:lastModifiedBy>
  <cp:lastPrinted>2023-04-11T07:33:00Z</cp:lastPrinted>
  <dcterms:modified xsi:type="dcterms:W3CDTF">2026-10-16T02:58:51Z</dcterms:modified>
  <dc:title>一、重要提示</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B7A3FDF12FE24BE99A8C9D8F1F915BBD</vt:lpwstr>
  </property>
</Properties>
</file>